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tabs>
          <w:tab w:val="center" w:pos="8640"/>
        </w:tabs>
        <w:ind w:right="450"/>
        <w:jc w:val="both"/>
        <w:rPr>
          <w:sz w:val="20"/>
          <w:u w:val="single"/>
        </w:rPr>
      </w:pPr>
    </w:p>
    <w:p w:rsidR="00EC6ED5" w:rsidRDefault="00EC6ED5" w:rsidP="00501A1C">
      <w:pPr>
        <w:tabs>
          <w:tab w:val="center" w:pos="8550"/>
        </w:tabs>
        <w:ind w:left="7020" w:right="-630"/>
        <w:rPr>
          <w:rFonts w:ascii="Times New Roman" w:hAnsi="Times New Roman"/>
          <w:b/>
          <w:sz w:val="20"/>
          <w:u w:val="single"/>
        </w:rPr>
      </w:pPr>
      <w:r>
        <w:rPr>
          <w:rFonts w:ascii="Times New Roman" w:hAnsi="Times New Roman"/>
          <w:sz w:val="20"/>
        </w:rPr>
        <w:t xml:space="preserve">    </w:t>
      </w:r>
    </w:p>
    <w:p w:rsidR="00501A1C" w:rsidRPr="0021647C" w:rsidRDefault="00501A1C" w:rsidP="00501A1C">
      <w:pPr>
        <w:rPr>
          <w:rFonts w:ascii="Times New Roman" w:hAnsi="Times New Roman"/>
          <w:b/>
          <w:sz w:val="20"/>
          <w:u w:val="single"/>
        </w:rPr>
      </w:pPr>
      <w:r w:rsidRPr="0021647C">
        <w:rPr>
          <w:rFonts w:ascii="Times New Roman" w:hAnsi="Times New Roman"/>
          <w:b/>
          <w:sz w:val="20"/>
        </w:rPr>
        <w:t xml:space="preserve">                                                                                                                                               </w:t>
      </w:r>
      <w:r w:rsidRPr="0021647C">
        <w:rPr>
          <w:rFonts w:ascii="Times New Roman" w:hAnsi="Times New Roman"/>
          <w:b/>
          <w:sz w:val="20"/>
          <w:u w:val="single"/>
        </w:rPr>
        <w:t>Resolution No.</w:t>
      </w:r>
      <w:r w:rsidR="0021647C" w:rsidRPr="0021647C">
        <w:rPr>
          <w:rFonts w:ascii="Times New Roman" w:hAnsi="Times New Roman"/>
          <w:b/>
          <w:sz w:val="20"/>
          <w:u w:val="single"/>
        </w:rPr>
        <w:t xml:space="preserve"> 2014.06/18</w:t>
      </w:r>
      <w:r w:rsidRPr="0021647C">
        <w:rPr>
          <w:rFonts w:ascii="Times New Roman" w:hAnsi="Times New Roman"/>
          <w:b/>
          <w:sz w:val="20"/>
          <w:u w:val="single"/>
        </w:rPr>
        <w:t xml:space="preserve"> </w:t>
      </w:r>
    </w:p>
    <w:p w:rsidR="00501A1C" w:rsidRPr="0021647C" w:rsidRDefault="00501A1C" w:rsidP="00501A1C">
      <w:pPr>
        <w:rPr>
          <w:rFonts w:ascii="Times New Roman" w:hAnsi="Times New Roman"/>
          <w:b/>
          <w:sz w:val="20"/>
          <w:u w:val="single"/>
        </w:rPr>
      </w:pPr>
      <w:r w:rsidRPr="0021647C">
        <w:rPr>
          <w:rFonts w:ascii="Times New Roman" w:hAnsi="Times New Roman"/>
          <w:b/>
          <w:sz w:val="20"/>
        </w:rPr>
        <w:t xml:space="preserve">                                                                                                                                              </w:t>
      </w:r>
      <w:r w:rsidRPr="0021647C">
        <w:rPr>
          <w:rFonts w:ascii="Times New Roman" w:hAnsi="Times New Roman"/>
          <w:b/>
          <w:sz w:val="20"/>
          <w:u w:val="single"/>
        </w:rPr>
        <w:t xml:space="preserve">Contract for Milner Library </w:t>
      </w:r>
      <w:r w:rsidRPr="0021647C">
        <w:rPr>
          <w:rFonts w:ascii="Times New Roman" w:hAnsi="Times New Roman"/>
          <w:b/>
          <w:sz w:val="20"/>
          <w:u w:val="single"/>
        </w:rPr>
        <w:br/>
      </w:r>
      <w:r w:rsidRPr="0021647C">
        <w:rPr>
          <w:rFonts w:ascii="Times New Roman" w:hAnsi="Times New Roman"/>
          <w:b/>
          <w:sz w:val="20"/>
        </w:rPr>
        <w:t xml:space="preserve">                                                                                                                                                   </w:t>
      </w:r>
      <w:r w:rsidRPr="0021647C">
        <w:rPr>
          <w:rFonts w:ascii="Times New Roman" w:hAnsi="Times New Roman"/>
          <w:b/>
          <w:sz w:val="20"/>
          <w:u w:val="single"/>
        </w:rPr>
        <w:t>Journal Subscriptions</w:t>
      </w:r>
    </w:p>
    <w:p w:rsidR="00501A1C" w:rsidRPr="0021647C" w:rsidRDefault="00501A1C" w:rsidP="00501A1C">
      <w:pPr>
        <w:rPr>
          <w:rFonts w:ascii="Times New Roman" w:hAnsi="Times New Roman"/>
          <w:b/>
          <w:sz w:val="20"/>
          <w:u w:val="single"/>
        </w:rPr>
      </w:pPr>
    </w:p>
    <w:p w:rsidR="00501A1C" w:rsidRPr="0021647C" w:rsidRDefault="00501A1C" w:rsidP="00501A1C">
      <w:pPr>
        <w:rPr>
          <w:rFonts w:ascii="Times New Roman" w:hAnsi="Times New Roman"/>
          <w:b/>
          <w:sz w:val="20"/>
          <w:u w:val="single"/>
        </w:rPr>
      </w:pPr>
    </w:p>
    <w:p w:rsidR="00501A1C" w:rsidRPr="0021647C" w:rsidRDefault="00501A1C" w:rsidP="00501A1C">
      <w:pPr>
        <w:rPr>
          <w:rFonts w:ascii="Times New Roman" w:hAnsi="Times New Roman"/>
          <w:b/>
          <w:sz w:val="20"/>
          <w:u w:val="single"/>
        </w:rPr>
      </w:pPr>
      <w:r w:rsidRPr="0021647C">
        <w:rPr>
          <w:rFonts w:ascii="Times New Roman" w:hAnsi="Times New Roman"/>
          <w:b/>
          <w:sz w:val="20"/>
          <w:u w:val="single"/>
        </w:rPr>
        <w:t>Resolution</w:t>
      </w:r>
    </w:p>
    <w:p w:rsidR="00501A1C" w:rsidRPr="0021647C" w:rsidRDefault="00501A1C" w:rsidP="00501A1C">
      <w:pPr>
        <w:rPr>
          <w:rFonts w:ascii="Times New Roman" w:hAnsi="Times New Roman"/>
          <w:sz w:val="20"/>
        </w:rPr>
      </w:pPr>
      <w:r w:rsidRPr="0021647C">
        <w:rPr>
          <w:rFonts w:ascii="Times New Roman" w:hAnsi="Times New Roman"/>
          <w:sz w:val="20"/>
        </w:rPr>
        <w:t>Whereas, the major periodical provider for Illinois State University’s Milner Library is EBSCO Industries, and</w:t>
      </w:r>
    </w:p>
    <w:p w:rsidR="00501A1C" w:rsidRPr="0021647C" w:rsidRDefault="00501A1C" w:rsidP="00501A1C">
      <w:pPr>
        <w:rPr>
          <w:rFonts w:ascii="Times New Roman" w:hAnsi="Times New Roman"/>
          <w:sz w:val="20"/>
        </w:rPr>
      </w:pPr>
    </w:p>
    <w:p w:rsidR="00501A1C" w:rsidRPr="0021647C" w:rsidRDefault="00501A1C" w:rsidP="00501A1C">
      <w:pPr>
        <w:rPr>
          <w:rFonts w:ascii="Times New Roman" w:hAnsi="Times New Roman"/>
          <w:sz w:val="20"/>
        </w:rPr>
      </w:pPr>
      <w:r w:rsidRPr="0021647C">
        <w:rPr>
          <w:rFonts w:ascii="Times New Roman" w:hAnsi="Times New Roman"/>
          <w:sz w:val="20"/>
        </w:rPr>
        <w:t>Whereas, the Board of Trustees of Illinois State University authorized Milner Library to spend up to $2,200,000 for journal subscriptions with EBSCO Industries for the previous fiscal years, and</w:t>
      </w:r>
    </w:p>
    <w:p w:rsidR="00501A1C" w:rsidRPr="0021647C" w:rsidRDefault="00501A1C" w:rsidP="00501A1C">
      <w:pPr>
        <w:rPr>
          <w:rFonts w:ascii="Times New Roman" w:hAnsi="Times New Roman"/>
          <w:sz w:val="20"/>
        </w:rPr>
      </w:pPr>
    </w:p>
    <w:p w:rsidR="00501A1C" w:rsidRPr="0021647C" w:rsidRDefault="00501A1C" w:rsidP="00501A1C">
      <w:pPr>
        <w:rPr>
          <w:rFonts w:ascii="Times New Roman" w:hAnsi="Times New Roman"/>
          <w:sz w:val="20"/>
        </w:rPr>
      </w:pPr>
      <w:r w:rsidRPr="0021647C">
        <w:rPr>
          <w:rFonts w:ascii="Times New Roman" w:hAnsi="Times New Roman"/>
          <w:sz w:val="20"/>
        </w:rPr>
        <w:t>Whereas, publisher prices have increased and additional journal subscri</w:t>
      </w:r>
      <w:r w:rsidR="00EC1729">
        <w:rPr>
          <w:rFonts w:ascii="Times New Roman" w:hAnsi="Times New Roman"/>
          <w:sz w:val="20"/>
        </w:rPr>
        <w:t>ptions and databases are needed:</w:t>
      </w:r>
      <w:r w:rsidRPr="0021647C">
        <w:rPr>
          <w:rFonts w:ascii="Times New Roman" w:hAnsi="Times New Roman"/>
          <w:sz w:val="20"/>
        </w:rPr>
        <w:t xml:space="preserve"> </w:t>
      </w:r>
    </w:p>
    <w:p w:rsidR="00501A1C" w:rsidRPr="0021647C" w:rsidRDefault="00501A1C" w:rsidP="00501A1C">
      <w:pPr>
        <w:rPr>
          <w:rFonts w:ascii="Times New Roman" w:hAnsi="Times New Roman"/>
          <w:sz w:val="20"/>
        </w:rPr>
      </w:pPr>
    </w:p>
    <w:p w:rsidR="00501A1C" w:rsidRPr="0021647C" w:rsidRDefault="00501A1C" w:rsidP="00501A1C">
      <w:pPr>
        <w:rPr>
          <w:rFonts w:ascii="Times New Roman" w:hAnsi="Times New Roman"/>
          <w:sz w:val="20"/>
        </w:rPr>
      </w:pPr>
      <w:r w:rsidRPr="0021647C">
        <w:rPr>
          <w:rFonts w:ascii="Times New Roman" w:hAnsi="Times New Roman"/>
          <w:sz w:val="20"/>
        </w:rPr>
        <w:t>Therefore, Illinois State University Milner Library requests spending authorization up to $2,400,000 for renewal of journal subscriptions and purchase of direct databases with EBSCO Industries from the Board of Trustees.  This request for spending authority is for FY2015 expenditures with the option for three annual renewals with expenditures not to increase by more than 10% in a given year.</w:t>
      </w:r>
    </w:p>
    <w:p w:rsidR="00501A1C" w:rsidRPr="0021647C" w:rsidRDefault="00501A1C" w:rsidP="00501A1C">
      <w:pPr>
        <w:rPr>
          <w:rFonts w:ascii="Times New Roman" w:hAnsi="Times New Roman"/>
          <w:sz w:val="20"/>
        </w:rPr>
      </w:pPr>
    </w:p>
    <w:p w:rsidR="00501A1C" w:rsidRPr="0021647C" w:rsidRDefault="00501A1C" w:rsidP="00501A1C">
      <w:pPr>
        <w:rPr>
          <w:rFonts w:ascii="Times New Roman" w:hAnsi="Times New Roman"/>
          <w:sz w:val="20"/>
        </w:rPr>
      </w:pPr>
    </w:p>
    <w:p w:rsidR="00501A1C" w:rsidRPr="0021647C" w:rsidRDefault="00501A1C" w:rsidP="00501A1C">
      <w:pPr>
        <w:rPr>
          <w:rFonts w:ascii="Times New Roman" w:hAnsi="Times New Roman"/>
          <w:sz w:val="20"/>
        </w:rPr>
      </w:pPr>
    </w:p>
    <w:p w:rsidR="0021647C" w:rsidRPr="0021647C" w:rsidRDefault="0021647C" w:rsidP="0021647C">
      <w:pPr>
        <w:ind w:right="-720"/>
        <w:rPr>
          <w:rFonts w:ascii="Times New Roman" w:hAnsi="Times New Roman"/>
          <w:sz w:val="20"/>
          <w:u w:val="single"/>
        </w:rPr>
      </w:pP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p>
    <w:p w:rsidR="0021647C" w:rsidRPr="0021647C" w:rsidRDefault="0021647C" w:rsidP="0021647C">
      <w:pPr>
        <w:tabs>
          <w:tab w:val="decimal" w:pos="270"/>
        </w:tabs>
        <w:ind w:right="-720"/>
        <w:rPr>
          <w:rFonts w:ascii="Times New Roman" w:hAnsi="Times New Roman"/>
          <w:sz w:val="20"/>
        </w:rPr>
      </w:pPr>
      <w:r w:rsidRPr="0021647C">
        <w:rPr>
          <w:rFonts w:ascii="Times New Roman" w:hAnsi="Times New Roman"/>
          <w:sz w:val="20"/>
        </w:rPr>
        <w:tab/>
        <w:t>Board Action on:</w:t>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rPr>
        <w:tab/>
        <w:t>Postpone:</w:t>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p>
    <w:p w:rsidR="0021647C" w:rsidRPr="0021647C" w:rsidRDefault="0021647C" w:rsidP="0021647C">
      <w:pPr>
        <w:tabs>
          <w:tab w:val="left" w:pos="360"/>
        </w:tabs>
        <w:ind w:left="-720" w:right="-720"/>
        <w:rPr>
          <w:rFonts w:ascii="Times New Roman" w:hAnsi="Times New Roman"/>
          <w:sz w:val="20"/>
        </w:rPr>
      </w:pPr>
      <w:r w:rsidRPr="0021647C">
        <w:rPr>
          <w:rFonts w:ascii="Times New Roman" w:hAnsi="Times New Roman"/>
          <w:sz w:val="20"/>
        </w:rPr>
        <w:tab/>
        <w:t>Motion by:</w:t>
      </w:r>
      <w:r w:rsidRPr="0021647C">
        <w:rPr>
          <w:rFonts w:ascii="Times New Roman" w:hAnsi="Times New Roman"/>
          <w:sz w:val="20"/>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rPr>
        <w:tab/>
        <w:t>Amend:</w:t>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p>
    <w:p w:rsidR="0021647C" w:rsidRPr="0021647C" w:rsidRDefault="0021647C" w:rsidP="0021647C">
      <w:pPr>
        <w:tabs>
          <w:tab w:val="left" w:pos="360"/>
        </w:tabs>
        <w:ind w:left="-720" w:right="-720"/>
        <w:rPr>
          <w:rFonts w:ascii="Times New Roman" w:hAnsi="Times New Roman"/>
          <w:sz w:val="20"/>
        </w:rPr>
      </w:pPr>
      <w:r w:rsidRPr="0021647C">
        <w:rPr>
          <w:rFonts w:ascii="Times New Roman" w:hAnsi="Times New Roman"/>
          <w:sz w:val="20"/>
        </w:rPr>
        <w:tab/>
        <w:t>Second by:</w:t>
      </w:r>
      <w:r w:rsidRPr="0021647C">
        <w:rPr>
          <w:rFonts w:ascii="Times New Roman" w:hAnsi="Times New Roman"/>
          <w:sz w:val="20"/>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rPr>
        <w:tab/>
        <w:t>Disapprove:</w:t>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p>
    <w:p w:rsidR="0021647C" w:rsidRPr="0021647C" w:rsidRDefault="0021647C" w:rsidP="0021647C">
      <w:pPr>
        <w:tabs>
          <w:tab w:val="left" w:pos="360"/>
        </w:tabs>
        <w:ind w:right="-810"/>
        <w:jc w:val="both"/>
        <w:rPr>
          <w:rFonts w:ascii="Times New Roman" w:hAnsi="Times New Roman"/>
          <w:sz w:val="20"/>
          <w:u w:val="single"/>
        </w:rPr>
      </w:pPr>
      <w:r w:rsidRPr="0021647C">
        <w:rPr>
          <w:rFonts w:ascii="Times New Roman" w:hAnsi="Times New Roman"/>
          <w:sz w:val="20"/>
        </w:rPr>
        <w:tab/>
        <w:t>Vote:</w:t>
      </w:r>
      <w:r w:rsidRPr="0021647C">
        <w:rPr>
          <w:rFonts w:ascii="Times New Roman" w:hAnsi="Times New Roman"/>
          <w:sz w:val="20"/>
        </w:rPr>
        <w:tab/>
        <w:t>Yeas:</w:t>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rPr>
        <w:t>Nays:</w:t>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rPr>
        <w:tab/>
        <w:t>Approve:</w:t>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r w:rsidRPr="0021647C">
        <w:rPr>
          <w:rFonts w:ascii="Times New Roman" w:hAnsi="Times New Roman"/>
          <w:sz w:val="20"/>
          <w:u w:val="single"/>
        </w:rPr>
        <w:tab/>
      </w:r>
    </w:p>
    <w:p w:rsidR="0021647C" w:rsidRPr="0021647C" w:rsidRDefault="0021647C" w:rsidP="0021647C">
      <w:pPr>
        <w:tabs>
          <w:tab w:val="left" w:pos="360"/>
        </w:tabs>
        <w:ind w:right="-810"/>
        <w:jc w:val="both"/>
        <w:rPr>
          <w:rFonts w:ascii="Times New Roman" w:hAnsi="Times New Roman"/>
          <w:sz w:val="20"/>
          <w:u w:val="single"/>
        </w:rPr>
      </w:pPr>
    </w:p>
    <w:p w:rsidR="0021647C" w:rsidRPr="0021647C" w:rsidRDefault="0021647C" w:rsidP="0021647C">
      <w:pPr>
        <w:tabs>
          <w:tab w:val="left" w:pos="360"/>
        </w:tabs>
        <w:ind w:right="-810"/>
        <w:rPr>
          <w:rFonts w:ascii="Times New Roman" w:hAnsi="Times New Roman"/>
          <w:sz w:val="20"/>
          <w:u w:val="single"/>
        </w:rPr>
      </w:pPr>
      <w:r w:rsidRPr="0021647C">
        <w:rPr>
          <w:rFonts w:ascii="Times New Roman" w:hAnsi="Times New Roman"/>
          <w:sz w:val="20"/>
        </w:rPr>
        <w:tab/>
      </w:r>
      <w:r w:rsidRPr="0021647C">
        <w:rPr>
          <w:rFonts w:ascii="Times New Roman" w:hAnsi="Times New Roman"/>
          <w:sz w:val="20"/>
        </w:rPr>
        <w:tab/>
      </w:r>
      <w:r w:rsidRPr="0021647C">
        <w:rPr>
          <w:rFonts w:ascii="Times New Roman" w:hAnsi="Times New Roman"/>
          <w:sz w:val="20"/>
        </w:rPr>
        <w:tab/>
      </w:r>
      <w:r w:rsidRPr="0021647C">
        <w:rPr>
          <w:rFonts w:ascii="Times New Roman" w:hAnsi="Times New Roman"/>
          <w:sz w:val="20"/>
        </w:rPr>
        <w:tab/>
      </w:r>
      <w:r w:rsidRPr="0021647C">
        <w:rPr>
          <w:rFonts w:ascii="Times New Roman" w:hAnsi="Times New Roman"/>
          <w:sz w:val="20"/>
        </w:rPr>
        <w:tab/>
      </w:r>
      <w:r w:rsidRPr="0021647C">
        <w:rPr>
          <w:rFonts w:ascii="Times New Roman" w:hAnsi="Times New Roman"/>
          <w:sz w:val="20"/>
        </w:rPr>
        <w:tab/>
        <w:t xml:space="preserve">  </w:t>
      </w:r>
      <w:r w:rsidRPr="0021647C">
        <w:rPr>
          <w:rFonts w:ascii="Times New Roman" w:hAnsi="Times New Roman"/>
          <w:sz w:val="20"/>
        </w:rPr>
        <w:tab/>
      </w:r>
      <w:r w:rsidRPr="0021647C">
        <w:rPr>
          <w:rFonts w:ascii="Times New Roman" w:hAnsi="Times New Roman"/>
          <w:sz w:val="20"/>
        </w:rPr>
        <w:tab/>
        <w:t xml:space="preserve">   </w:t>
      </w:r>
      <w:r>
        <w:rPr>
          <w:rFonts w:ascii="Times New Roman" w:hAnsi="Times New Roman"/>
          <w:sz w:val="20"/>
        </w:rPr>
        <w:t xml:space="preserve">       </w:t>
      </w:r>
      <w:r w:rsidRPr="0021647C">
        <w:rPr>
          <w:rFonts w:ascii="Times New Roman" w:hAnsi="Times New Roman"/>
          <w:sz w:val="20"/>
        </w:rPr>
        <w:t xml:space="preserve"> </w:t>
      </w:r>
      <w:r w:rsidRPr="0021647C">
        <w:rPr>
          <w:rFonts w:ascii="Times New Roman" w:hAnsi="Times New Roman"/>
          <w:sz w:val="20"/>
          <w:u w:val="single"/>
        </w:rPr>
        <w:t>ATTEST: Board Action June 6, 2014</w:t>
      </w:r>
    </w:p>
    <w:p w:rsidR="0021647C" w:rsidRPr="0021647C" w:rsidRDefault="0021647C" w:rsidP="0021647C">
      <w:pPr>
        <w:tabs>
          <w:tab w:val="left" w:pos="360"/>
        </w:tabs>
        <w:ind w:right="-810"/>
        <w:rPr>
          <w:rFonts w:ascii="Times New Roman" w:hAnsi="Times New Roman"/>
          <w:sz w:val="20"/>
        </w:rPr>
      </w:pPr>
    </w:p>
    <w:p w:rsidR="0021647C" w:rsidRPr="0021647C" w:rsidRDefault="0021647C" w:rsidP="0021647C">
      <w:pPr>
        <w:tabs>
          <w:tab w:val="left" w:pos="360"/>
        </w:tabs>
        <w:ind w:right="-810"/>
        <w:rPr>
          <w:rFonts w:ascii="Times New Roman" w:hAnsi="Times New Roman"/>
          <w:b/>
          <w:bCs/>
          <w:sz w:val="20"/>
          <w:u w:val="single"/>
        </w:rPr>
        <w:sectPr w:rsidR="0021647C" w:rsidRPr="0021647C" w:rsidSect="0021647C">
          <w:footerReference w:type="first" r:id="rId8"/>
          <w:pgSz w:w="12240" w:h="15840" w:code="1"/>
          <w:pgMar w:top="1440" w:right="1008" w:bottom="1440" w:left="1440" w:header="720" w:footer="720" w:gutter="0"/>
          <w:cols w:space="720"/>
          <w:rtlGutter/>
          <w:docGrid w:linePitch="326"/>
        </w:sectPr>
      </w:pPr>
      <w:r w:rsidRPr="0021647C">
        <w:rPr>
          <w:rFonts w:ascii="Times New Roman" w:hAnsi="Times New Roman"/>
          <w:sz w:val="20"/>
        </w:rPr>
        <w:t xml:space="preserve">                                                                                        </w:t>
      </w:r>
      <w:r>
        <w:rPr>
          <w:rFonts w:ascii="Times New Roman" w:hAnsi="Times New Roman"/>
          <w:sz w:val="20"/>
        </w:rPr>
        <w:t xml:space="preserve">                       </w:t>
      </w:r>
      <w:r w:rsidRPr="0021647C">
        <w:rPr>
          <w:rFonts w:ascii="Times New Roman" w:hAnsi="Times New Roman"/>
          <w:sz w:val="20"/>
        </w:rPr>
        <w:t xml:space="preserve"> _____________________________</w:t>
      </w:r>
      <w:r w:rsidRPr="0021647C">
        <w:rPr>
          <w:rFonts w:ascii="Times New Roman" w:hAnsi="Times New Roman"/>
          <w:sz w:val="20"/>
        </w:rPr>
        <w:br/>
        <w:t xml:space="preserve">                                                                                                    </w:t>
      </w:r>
      <w:r>
        <w:rPr>
          <w:rFonts w:ascii="Times New Roman" w:hAnsi="Times New Roman"/>
          <w:sz w:val="20"/>
        </w:rPr>
        <w:t xml:space="preserve">                        </w:t>
      </w:r>
      <w:r w:rsidR="00EC1729">
        <w:rPr>
          <w:rFonts w:ascii="Times New Roman" w:hAnsi="Times New Roman"/>
          <w:sz w:val="20"/>
        </w:rPr>
        <w:t xml:space="preserve"> </w:t>
      </w:r>
      <w:r w:rsidRPr="0021647C">
        <w:rPr>
          <w:rFonts w:ascii="Times New Roman" w:hAnsi="Times New Roman"/>
          <w:sz w:val="20"/>
        </w:rPr>
        <w:t>Secretary/Treasurer</w:t>
      </w:r>
      <w:r w:rsidRPr="0021647C">
        <w:rPr>
          <w:rFonts w:ascii="Times New Roman" w:hAnsi="Times New Roman"/>
          <w:sz w:val="20"/>
          <w:u w:val="single"/>
        </w:rPr>
        <w:t xml:space="preserve"> </w:t>
      </w:r>
    </w:p>
    <w:p w:rsidR="00501A1C" w:rsidRDefault="00501A1C" w:rsidP="00501A1C"/>
    <w:p w:rsidR="00501A1C" w:rsidRPr="00B1121D" w:rsidRDefault="00501A1C" w:rsidP="00501A1C">
      <w:pPr>
        <w:jc w:val="center"/>
        <w:rPr>
          <w:rFonts w:ascii="Times New Roman" w:hAnsi="Times New Roman"/>
          <w:b/>
          <w:sz w:val="20"/>
        </w:rPr>
      </w:pPr>
      <w:r w:rsidRPr="00B1121D">
        <w:rPr>
          <w:rFonts w:ascii="Times New Roman" w:hAnsi="Times New Roman"/>
          <w:b/>
          <w:sz w:val="20"/>
        </w:rPr>
        <w:t>Board of Trustees</w:t>
      </w:r>
      <w:r w:rsidRPr="00B1121D">
        <w:rPr>
          <w:rFonts w:ascii="Times New Roman" w:hAnsi="Times New Roman"/>
          <w:b/>
          <w:sz w:val="20"/>
        </w:rPr>
        <w:br/>
        <w:t>Illinois State University</w:t>
      </w:r>
      <w:r w:rsidRPr="00B1121D">
        <w:rPr>
          <w:rFonts w:ascii="Times New Roman" w:hAnsi="Times New Roman"/>
          <w:b/>
          <w:sz w:val="20"/>
        </w:rPr>
        <w:br/>
        <w:t>Contract for Milner Library Journal Subscriptions</w:t>
      </w:r>
      <w:r>
        <w:rPr>
          <w:rFonts w:ascii="Times New Roman" w:hAnsi="Times New Roman"/>
          <w:b/>
          <w:sz w:val="20"/>
        </w:rPr>
        <w:br/>
      </w:r>
    </w:p>
    <w:p w:rsidR="00501A1C" w:rsidRPr="00B1121D" w:rsidRDefault="00501A1C" w:rsidP="00501A1C">
      <w:pPr>
        <w:rPr>
          <w:rFonts w:ascii="Times New Roman" w:hAnsi="Times New Roman"/>
          <w:sz w:val="20"/>
        </w:rPr>
      </w:pPr>
      <w:r w:rsidRPr="00B1121D">
        <w:rPr>
          <w:rFonts w:ascii="Times New Roman" w:hAnsi="Times New Roman"/>
          <w:sz w:val="20"/>
        </w:rPr>
        <w:t>EBSCO Industries is the primary periodicals and electronic databases vendor for Milner Library.  EBSCO provides volume discounts to the desired database and subscription services.  Milner Library utilizes an exemption per Section 1-13(b) Exemptions (PA97-643) of the Procurement Code.  Illinois State University Board of Trustees previously authorized Milner Library to spend up to $2.2 million for journal subscriptions annually the past four fiscal years.  Due to increases in the number of databases and subscriptions, as well as publisher price increases, the renewal for FY</w:t>
      </w:r>
      <w:r w:rsidR="00EC1729">
        <w:rPr>
          <w:rFonts w:ascii="Times New Roman" w:hAnsi="Times New Roman"/>
          <w:sz w:val="20"/>
        </w:rPr>
        <w:t>20</w:t>
      </w:r>
      <w:r w:rsidRPr="00B1121D">
        <w:rPr>
          <w:rFonts w:ascii="Times New Roman" w:hAnsi="Times New Roman"/>
          <w:sz w:val="20"/>
        </w:rPr>
        <w:t xml:space="preserve">15 is estimated at $2.4 million.  </w:t>
      </w:r>
    </w:p>
    <w:p w:rsidR="00501A1C" w:rsidRPr="00B1121D" w:rsidRDefault="00501A1C" w:rsidP="00501A1C">
      <w:pPr>
        <w:rPr>
          <w:rFonts w:ascii="Times New Roman" w:hAnsi="Times New Roman"/>
          <w:sz w:val="20"/>
        </w:rPr>
      </w:pPr>
    </w:p>
    <w:p w:rsidR="00501A1C" w:rsidRPr="00B1121D" w:rsidRDefault="00501A1C" w:rsidP="00501A1C">
      <w:pPr>
        <w:rPr>
          <w:rFonts w:ascii="Times New Roman" w:hAnsi="Times New Roman"/>
          <w:sz w:val="20"/>
        </w:rPr>
      </w:pPr>
      <w:r w:rsidRPr="00B1121D">
        <w:rPr>
          <w:rFonts w:ascii="Times New Roman" w:hAnsi="Times New Roman"/>
          <w:sz w:val="20"/>
        </w:rPr>
        <w:t>The administration of Milner Library seeks Board of Trustees support for increasing the journal subscriptions renewal with EBSCO Industries from the currently approved $2.2 million to $2.4 million for FY</w:t>
      </w:r>
      <w:r w:rsidR="00EC1729">
        <w:rPr>
          <w:rFonts w:ascii="Times New Roman" w:hAnsi="Times New Roman"/>
          <w:sz w:val="20"/>
        </w:rPr>
        <w:t>20</w:t>
      </w:r>
      <w:bookmarkStart w:id="0" w:name="_GoBack"/>
      <w:bookmarkEnd w:id="0"/>
      <w:r w:rsidRPr="00B1121D">
        <w:rPr>
          <w:rFonts w:ascii="Times New Roman" w:hAnsi="Times New Roman"/>
          <w:sz w:val="20"/>
        </w:rPr>
        <w:t xml:space="preserve">15 and future fiscal years with expenditures not to increase by more than 10% annually for additional services.  This request for spending authority is for FY2015 with the option for three annual renewals. This will assure availability of the journals necessary to support quality programs and research at Illinois State University. </w:t>
      </w:r>
    </w:p>
    <w:p w:rsidR="00501A1C" w:rsidRPr="00E839C1" w:rsidRDefault="00501A1C" w:rsidP="00501A1C"/>
    <w:p w:rsidR="00EC6ED5" w:rsidRPr="00917CAD" w:rsidRDefault="00EC6ED5" w:rsidP="00501A1C">
      <w:pPr>
        <w:tabs>
          <w:tab w:val="center" w:pos="8550"/>
        </w:tabs>
        <w:ind w:right="-630"/>
        <w:rPr>
          <w:rFonts w:ascii="Times New Roman" w:hAnsi="Times New Roman"/>
          <w:b/>
          <w:sz w:val="20"/>
          <w:u w:val="single"/>
        </w:rPr>
      </w:pPr>
    </w:p>
    <w:sectPr w:rsidR="00EC6ED5" w:rsidRPr="00917CAD" w:rsidSect="00501A1C">
      <w:footerReference w:type="default" r:id="rId9"/>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B1" w:rsidRPr="00E115B1" w:rsidRDefault="00E115B1" w:rsidP="00E115B1">
    <w:pPr>
      <w:pStyle w:val="Footer"/>
      <w:rPr>
        <w:rFonts w:ascii="Times New Roman" w:hAnsi="Times New Roman"/>
        <w:sz w:val="20"/>
        <w:u w:val="single"/>
      </w:rPr>
    </w:pPr>
    <w:r w:rsidRPr="00E115B1">
      <w:rPr>
        <w:rFonts w:ascii="Times New Roman" w:hAnsi="Times New Roman"/>
        <w:sz w:val="20"/>
        <w:u w:val="single"/>
      </w:rPr>
      <w:t xml:space="preserve">Board of Trustees Illinois State University – Milner Library Journal Subscriptions    </w:t>
    </w:r>
    <w:r>
      <w:rPr>
        <w:rFonts w:ascii="Times New Roman" w:hAnsi="Times New Roman"/>
        <w:sz w:val="20"/>
        <w:u w:val="single"/>
      </w:rPr>
      <w:t xml:space="preserve">                                 </w:t>
    </w:r>
    <w:r w:rsidRPr="00E115B1">
      <w:rPr>
        <w:rFonts w:ascii="Times New Roman" w:hAnsi="Times New Roman"/>
        <w:sz w:val="20"/>
        <w:u w:val="single"/>
      </w:rPr>
      <w:t xml:space="preserve">   Page </w:t>
    </w:r>
    <w:sdt>
      <w:sdtPr>
        <w:rPr>
          <w:rFonts w:ascii="Times New Roman" w:hAnsi="Times New Roman"/>
          <w:sz w:val="20"/>
          <w:u w:val="single"/>
        </w:rPr>
        <w:id w:val="427473525"/>
        <w:docPartObj>
          <w:docPartGallery w:val="Page Numbers (Bottom of Page)"/>
          <w:docPartUnique/>
        </w:docPartObj>
      </w:sdtPr>
      <w:sdtEndPr>
        <w:rPr>
          <w:noProof/>
        </w:rPr>
      </w:sdtEndPr>
      <w:sdtContent>
        <w:r w:rsidRPr="00E115B1">
          <w:rPr>
            <w:rFonts w:ascii="Times New Roman" w:hAnsi="Times New Roman"/>
            <w:sz w:val="20"/>
            <w:u w:val="single"/>
          </w:rPr>
          <w:fldChar w:fldCharType="begin"/>
        </w:r>
        <w:r w:rsidRPr="00E115B1">
          <w:rPr>
            <w:rFonts w:ascii="Times New Roman" w:hAnsi="Times New Roman"/>
            <w:sz w:val="20"/>
            <w:u w:val="single"/>
          </w:rPr>
          <w:instrText xml:space="preserve"> PAGE   \* MERGEFORMAT </w:instrText>
        </w:r>
        <w:r w:rsidRPr="00E115B1">
          <w:rPr>
            <w:rFonts w:ascii="Times New Roman" w:hAnsi="Times New Roman"/>
            <w:sz w:val="20"/>
            <w:u w:val="single"/>
          </w:rPr>
          <w:fldChar w:fldCharType="separate"/>
        </w:r>
        <w:r w:rsidR="00EC1729">
          <w:rPr>
            <w:rFonts w:ascii="Times New Roman" w:hAnsi="Times New Roman"/>
            <w:noProof/>
            <w:sz w:val="20"/>
            <w:u w:val="single"/>
          </w:rPr>
          <w:t>2</w:t>
        </w:r>
        <w:r w:rsidRPr="00E115B1">
          <w:rPr>
            <w:rFonts w:ascii="Times New Roman" w:hAnsi="Times New Roman"/>
            <w:noProof/>
            <w:sz w:val="20"/>
            <w:u w:val="single"/>
          </w:rPr>
          <w:fldChar w:fldCharType="end"/>
        </w:r>
      </w:sdtContent>
    </w:sdt>
  </w:p>
  <w:p w:rsidR="00E115B1" w:rsidRPr="00E115B1" w:rsidRDefault="00E115B1">
    <w:pPr>
      <w:pStyle w:val="Footer"/>
      <w:rPr>
        <w:rFonts w:ascii="Times New Roman" w:hAnsi="Times New Roman"/>
        <w:sz w:val="20"/>
      </w:rPr>
    </w:pPr>
    <w:r w:rsidRPr="00E115B1">
      <w:rPr>
        <w:rFonts w:ascii="Times New Roman" w:hAnsi="Times New Roman"/>
        <w:sz w:val="20"/>
      </w:rPr>
      <w:t>6/</w:t>
    </w:r>
    <w:r w:rsidR="00EC1729">
      <w:rPr>
        <w:rFonts w:ascii="Times New Roman" w:hAnsi="Times New Roman"/>
        <w:sz w:val="20"/>
      </w:rPr>
      <w:t>0</w:t>
    </w:r>
    <w:r w:rsidRPr="00E115B1">
      <w:rPr>
        <w:rFonts w:ascii="Times New Roman" w:hAnsi="Times New Roman"/>
        <w:sz w:val="20"/>
      </w:rPr>
      <w:t>6/2014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AD" w:rsidRPr="00501A1C" w:rsidRDefault="00501A1C" w:rsidP="00F008E8">
    <w:pPr>
      <w:pStyle w:val="Footer"/>
      <w:rPr>
        <w:rFonts w:ascii="Times New Roman" w:hAnsi="Times New Roman"/>
        <w:sz w:val="20"/>
        <w:u w:val="single"/>
      </w:rPr>
    </w:pPr>
    <w:r w:rsidRPr="00501A1C">
      <w:rPr>
        <w:rFonts w:ascii="Times New Roman" w:hAnsi="Times New Roman"/>
        <w:sz w:val="20"/>
        <w:u w:val="single"/>
      </w:rPr>
      <w:t xml:space="preserve">Board of Trustees </w:t>
    </w:r>
    <w:r w:rsidR="00917CAD" w:rsidRPr="00501A1C">
      <w:rPr>
        <w:rFonts w:ascii="Times New Roman" w:hAnsi="Times New Roman"/>
        <w:sz w:val="20"/>
        <w:u w:val="single"/>
      </w:rPr>
      <w:t>Illinois State University</w:t>
    </w:r>
    <w:r w:rsidRPr="00501A1C">
      <w:rPr>
        <w:rFonts w:ascii="Times New Roman" w:hAnsi="Times New Roman"/>
        <w:sz w:val="20"/>
        <w:u w:val="single"/>
      </w:rPr>
      <w:t xml:space="preserve"> – Milner Library Journal Subscriptions              </w:t>
    </w:r>
    <w:r>
      <w:rPr>
        <w:rFonts w:ascii="Times New Roman" w:hAnsi="Times New Roman"/>
        <w:sz w:val="20"/>
        <w:u w:val="single"/>
      </w:rPr>
      <w:t xml:space="preserve">                  </w:t>
    </w:r>
    <w:r w:rsidRPr="00501A1C">
      <w:rPr>
        <w:rFonts w:ascii="Times New Roman" w:hAnsi="Times New Roman"/>
        <w:sz w:val="20"/>
        <w:u w:val="single"/>
      </w:rPr>
      <w:t xml:space="preserve">        </w:t>
    </w:r>
    <w:r w:rsidR="00917CAD" w:rsidRPr="00501A1C">
      <w:rPr>
        <w:rFonts w:ascii="Times New Roman" w:hAnsi="Times New Roman"/>
        <w:sz w:val="20"/>
        <w:u w:val="single"/>
      </w:rPr>
      <w:t>Page 2</w:t>
    </w:r>
  </w:p>
  <w:p w:rsidR="00917CAD" w:rsidRPr="00501A1C" w:rsidRDefault="00501A1C" w:rsidP="00F008E8">
    <w:pPr>
      <w:pStyle w:val="Footer"/>
      <w:rPr>
        <w:rFonts w:ascii="Times New Roman" w:hAnsi="Times New Roman"/>
        <w:sz w:val="20"/>
      </w:rPr>
    </w:pPr>
    <w:r w:rsidRPr="00501A1C">
      <w:rPr>
        <w:rFonts w:ascii="Times New Roman" w:hAnsi="Times New Roman"/>
        <w:sz w:val="20"/>
      </w:rPr>
      <w:t>6/06/2014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D34"/>
    <w:rsid w:val="00092B86"/>
    <w:rsid w:val="000E5056"/>
    <w:rsid w:val="000F0251"/>
    <w:rsid w:val="000F0CD6"/>
    <w:rsid w:val="001338A2"/>
    <w:rsid w:val="00167C03"/>
    <w:rsid w:val="00195A06"/>
    <w:rsid w:val="001B5D99"/>
    <w:rsid w:val="001C350C"/>
    <w:rsid w:val="001D50A7"/>
    <w:rsid w:val="001F5E04"/>
    <w:rsid w:val="00210C64"/>
    <w:rsid w:val="0021647C"/>
    <w:rsid w:val="00266A66"/>
    <w:rsid w:val="00275A41"/>
    <w:rsid w:val="002E0561"/>
    <w:rsid w:val="00307AEA"/>
    <w:rsid w:val="003D06AF"/>
    <w:rsid w:val="003D1A17"/>
    <w:rsid w:val="003F3097"/>
    <w:rsid w:val="00447D5C"/>
    <w:rsid w:val="004625C4"/>
    <w:rsid w:val="00467123"/>
    <w:rsid w:val="0049192A"/>
    <w:rsid w:val="004B5929"/>
    <w:rsid w:val="004E5C61"/>
    <w:rsid w:val="004F2F88"/>
    <w:rsid w:val="00501A1C"/>
    <w:rsid w:val="00506FBD"/>
    <w:rsid w:val="005074E4"/>
    <w:rsid w:val="00515725"/>
    <w:rsid w:val="005267E3"/>
    <w:rsid w:val="0056203F"/>
    <w:rsid w:val="005C2FA5"/>
    <w:rsid w:val="005E4D37"/>
    <w:rsid w:val="005F53A2"/>
    <w:rsid w:val="00650757"/>
    <w:rsid w:val="00651E4A"/>
    <w:rsid w:val="00657D34"/>
    <w:rsid w:val="00687D23"/>
    <w:rsid w:val="006E10DC"/>
    <w:rsid w:val="006E5C7E"/>
    <w:rsid w:val="00731863"/>
    <w:rsid w:val="0075161E"/>
    <w:rsid w:val="00794BCB"/>
    <w:rsid w:val="007A6922"/>
    <w:rsid w:val="007B6120"/>
    <w:rsid w:val="007F4BB9"/>
    <w:rsid w:val="00817E81"/>
    <w:rsid w:val="008622E5"/>
    <w:rsid w:val="0087104F"/>
    <w:rsid w:val="00892854"/>
    <w:rsid w:val="008B584D"/>
    <w:rsid w:val="008C662B"/>
    <w:rsid w:val="008D14F6"/>
    <w:rsid w:val="00917CAD"/>
    <w:rsid w:val="00956015"/>
    <w:rsid w:val="009814EE"/>
    <w:rsid w:val="009A11DC"/>
    <w:rsid w:val="009B5766"/>
    <w:rsid w:val="009E1DE2"/>
    <w:rsid w:val="00A2168B"/>
    <w:rsid w:val="00A272D1"/>
    <w:rsid w:val="00A305E4"/>
    <w:rsid w:val="00A51EB4"/>
    <w:rsid w:val="00A5622C"/>
    <w:rsid w:val="00B02F10"/>
    <w:rsid w:val="00B04526"/>
    <w:rsid w:val="00B2620B"/>
    <w:rsid w:val="00B46FF9"/>
    <w:rsid w:val="00B7502A"/>
    <w:rsid w:val="00B844F0"/>
    <w:rsid w:val="00B8670D"/>
    <w:rsid w:val="00B92C6D"/>
    <w:rsid w:val="00BD6D12"/>
    <w:rsid w:val="00BE1742"/>
    <w:rsid w:val="00C42648"/>
    <w:rsid w:val="00C70EF6"/>
    <w:rsid w:val="00C94B5F"/>
    <w:rsid w:val="00CD28D8"/>
    <w:rsid w:val="00D076B9"/>
    <w:rsid w:val="00D102E4"/>
    <w:rsid w:val="00D443AE"/>
    <w:rsid w:val="00DF15D3"/>
    <w:rsid w:val="00E03098"/>
    <w:rsid w:val="00E0662C"/>
    <w:rsid w:val="00E115B1"/>
    <w:rsid w:val="00E43169"/>
    <w:rsid w:val="00E47429"/>
    <w:rsid w:val="00E53E1B"/>
    <w:rsid w:val="00E95BFF"/>
    <w:rsid w:val="00EC1729"/>
    <w:rsid w:val="00EC21E7"/>
    <w:rsid w:val="00EC6ED5"/>
    <w:rsid w:val="00F008E8"/>
    <w:rsid w:val="00F54DA2"/>
    <w:rsid w:val="00FA17DC"/>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paragraph" w:styleId="Heading3">
    <w:name w:val="heading 3"/>
    <w:basedOn w:val="Normal"/>
    <w:next w:val="Normal"/>
    <w:link w:val="Heading3Char"/>
    <w:uiPriority w:val="9"/>
    <w:semiHidden/>
    <w:unhideWhenUsed/>
    <w:qFormat/>
    <w:rsid w:val="002164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 w:type="character" w:customStyle="1" w:styleId="Heading3Char">
    <w:name w:val="Heading 3 Char"/>
    <w:basedOn w:val="DefaultParagraphFont"/>
    <w:link w:val="Heading3"/>
    <w:uiPriority w:val="9"/>
    <w:semiHidden/>
    <w:rsid w:val="0021647C"/>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2</cp:revision>
  <cp:lastPrinted>2014-05-30T15:48:00Z</cp:lastPrinted>
  <dcterms:created xsi:type="dcterms:W3CDTF">2014-05-30T15:48:00Z</dcterms:created>
  <dcterms:modified xsi:type="dcterms:W3CDTF">2014-05-30T15:48:00Z</dcterms:modified>
</cp:coreProperties>
</file>