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40"/>
        </w:rPr>
      </w:pPr>
      <w:r w:rsidRPr="00820FB4">
        <w:rPr>
          <w:rFonts w:ascii="Times New Roman" w:hAnsi="Times New Roman"/>
          <w:b/>
          <w:smallCaps/>
          <w:sz w:val="40"/>
        </w:rPr>
        <w:t>Illinois State</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32"/>
        </w:rPr>
      </w:pPr>
      <w:r w:rsidRPr="00820FB4">
        <w:rPr>
          <w:rFonts w:ascii="Times New Roman" w:hAnsi="Times New Roman"/>
          <w:b/>
          <w:smallCaps/>
          <w:sz w:val="32"/>
        </w:rPr>
        <w:t>University</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 xml:space="preserve">Board of </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Trustees</w:t>
      </w: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bookmarkStart w:id="0" w:name="_GoBack"/>
      <w:bookmarkEnd w:id="0"/>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227C71" w:rsidRPr="00C96564" w:rsidRDefault="00227C71" w:rsidP="00143C22">
      <w:pPr>
        <w:rPr>
          <w:rFonts w:ascii="Times New Roman" w:hAnsi="Times New Roman"/>
        </w:rPr>
      </w:pPr>
    </w:p>
    <w:p w:rsidR="00227C71" w:rsidRPr="00C96564" w:rsidRDefault="00227C71" w:rsidP="00143C22">
      <w:pPr>
        <w:rPr>
          <w:rFonts w:ascii="Times New Roman" w:hAnsi="Times New Roman"/>
        </w:rPr>
      </w:pPr>
    </w:p>
    <w:p w:rsidR="00227C71" w:rsidRPr="0029682E" w:rsidRDefault="00227C71" w:rsidP="00227C71">
      <w:pPr>
        <w:ind w:right="-1440"/>
        <w:rPr>
          <w:rFonts w:ascii="Times New Roman" w:hAnsi="Times New Roman"/>
          <w:b/>
          <w:u w:val="single"/>
        </w:rPr>
      </w:pPr>
      <w:r w:rsidRPr="0029682E">
        <w:rPr>
          <w:rFonts w:ascii="Times New Roman" w:hAnsi="Times New Roman"/>
          <w:b/>
        </w:rPr>
        <w:t xml:space="preserve">                                                                                                                                          </w:t>
      </w:r>
      <w:r w:rsidR="00D22FA6" w:rsidRPr="0029682E">
        <w:rPr>
          <w:rFonts w:ascii="Times New Roman" w:hAnsi="Times New Roman"/>
          <w:b/>
        </w:rPr>
        <w:t xml:space="preserve">   </w:t>
      </w:r>
      <w:r w:rsidRPr="0029682E">
        <w:rPr>
          <w:rFonts w:ascii="Times New Roman" w:hAnsi="Times New Roman"/>
          <w:b/>
        </w:rPr>
        <w:t xml:space="preserve"> </w:t>
      </w:r>
      <w:r w:rsidR="00FA1721" w:rsidRPr="0029682E">
        <w:rPr>
          <w:rFonts w:ascii="Times New Roman" w:hAnsi="Times New Roman"/>
          <w:b/>
          <w:u w:val="single"/>
        </w:rPr>
        <w:t xml:space="preserve">Resolution No.  </w:t>
      </w:r>
      <w:r w:rsidR="00A73F6D">
        <w:rPr>
          <w:rFonts w:ascii="Times New Roman" w:hAnsi="Times New Roman"/>
          <w:b/>
          <w:u w:val="single"/>
        </w:rPr>
        <w:t>2015.0</w:t>
      </w:r>
      <w:r w:rsidR="00BE3DE5">
        <w:rPr>
          <w:rFonts w:ascii="Times New Roman" w:hAnsi="Times New Roman"/>
          <w:b/>
          <w:u w:val="single"/>
        </w:rPr>
        <w:t>5</w:t>
      </w:r>
      <w:r w:rsidR="001E7FFA">
        <w:rPr>
          <w:rFonts w:ascii="Times New Roman" w:hAnsi="Times New Roman"/>
          <w:b/>
          <w:u w:val="single"/>
        </w:rPr>
        <w:t>/14</w:t>
      </w:r>
    </w:p>
    <w:p w:rsidR="00EA757B" w:rsidRDefault="007545C1" w:rsidP="007545C1">
      <w:pPr>
        <w:ind w:left="6480" w:right="-1440"/>
        <w:jc w:val="center"/>
        <w:rPr>
          <w:rFonts w:ascii="Times New Roman" w:hAnsi="Times New Roman"/>
          <w:b/>
          <w:u w:val="single"/>
        </w:rPr>
      </w:pPr>
      <w:r>
        <w:rPr>
          <w:rFonts w:ascii="Times New Roman" w:hAnsi="Times New Roman"/>
          <w:b/>
          <w:u w:val="single"/>
        </w:rPr>
        <w:t>Authorization to Renew Lease at</w:t>
      </w:r>
    </w:p>
    <w:p w:rsidR="007545C1" w:rsidRDefault="007545C1" w:rsidP="007545C1">
      <w:pPr>
        <w:ind w:left="6480" w:right="-1440"/>
        <w:jc w:val="center"/>
        <w:rPr>
          <w:rFonts w:ascii="Times New Roman" w:hAnsi="Times New Roman"/>
          <w:b/>
          <w:u w:val="single"/>
        </w:rPr>
      </w:pPr>
      <w:r>
        <w:rPr>
          <w:rFonts w:ascii="Times New Roman" w:hAnsi="Times New Roman"/>
          <w:b/>
          <w:u w:val="single"/>
        </w:rPr>
        <w:t>Uptown Crossing</w:t>
      </w:r>
    </w:p>
    <w:p w:rsidR="00227C71" w:rsidRPr="00C96564" w:rsidRDefault="00227C71" w:rsidP="00227C71">
      <w:pPr>
        <w:ind w:right="-1260"/>
        <w:rPr>
          <w:rFonts w:ascii="Times New Roman" w:hAnsi="Times New Roman"/>
          <w:b/>
          <w:u w:val="single"/>
        </w:rPr>
      </w:pPr>
      <w:r w:rsidRPr="00C96564">
        <w:rPr>
          <w:rFonts w:ascii="Times New Roman" w:hAnsi="Times New Roman"/>
          <w:b/>
          <w:u w:val="single"/>
        </w:rPr>
        <w:t>Resolution</w:t>
      </w:r>
    </w:p>
    <w:p w:rsidR="002D6C4E" w:rsidRDefault="002D6C4E" w:rsidP="002D6C4E">
      <w:pPr>
        <w:rPr>
          <w:rFonts w:ascii="Times New Roman" w:hAnsi="Times New Roman"/>
        </w:rPr>
      </w:pPr>
      <w:r>
        <w:rPr>
          <w:rFonts w:ascii="Times New Roman" w:hAnsi="Times New Roman"/>
        </w:rPr>
        <w:t>Whereas, the Board of Trustees of Illinois State University entered into an agreement with JRH, MRH LLC – 206 North Normal Series on July 2, 2009 to lease such real property described as a portion of first floor for Tenant’s lobby and elevator and a portion of the second floor of Uptown Crossing located at 100 South Fell Avenue, Normal, Illinois, consisting of approximately 31,237 rentable square feet for a period of five years with an option to renew fo</w:t>
      </w:r>
      <w:r w:rsidR="00D87E73">
        <w:rPr>
          <w:rFonts w:ascii="Times New Roman" w:hAnsi="Times New Roman"/>
        </w:rPr>
        <w:t>r an additional five years, and</w:t>
      </w:r>
    </w:p>
    <w:p w:rsidR="002C0F2C" w:rsidRDefault="002C0F2C" w:rsidP="00227C71">
      <w:pPr>
        <w:rPr>
          <w:rFonts w:ascii="Times New Roman" w:hAnsi="Times New Roman"/>
        </w:rPr>
      </w:pPr>
    </w:p>
    <w:p w:rsidR="0028404C" w:rsidRDefault="00424C2F" w:rsidP="00227C71">
      <w:pPr>
        <w:rPr>
          <w:rFonts w:ascii="Times New Roman" w:hAnsi="Times New Roman"/>
        </w:rPr>
      </w:pPr>
      <w:r>
        <w:rPr>
          <w:rFonts w:ascii="Times New Roman" w:hAnsi="Times New Roman"/>
        </w:rPr>
        <w:t>Whereas</w:t>
      </w:r>
      <w:r w:rsidR="002F06C0">
        <w:rPr>
          <w:rFonts w:ascii="Times New Roman" w:hAnsi="Times New Roman"/>
        </w:rPr>
        <w:t xml:space="preserve">, </w:t>
      </w:r>
      <w:r w:rsidR="0028404C">
        <w:rPr>
          <w:rFonts w:ascii="Times New Roman" w:hAnsi="Times New Roman"/>
        </w:rPr>
        <w:t xml:space="preserve">Illinois State University has insufficient </w:t>
      </w:r>
      <w:r w:rsidR="00E44241">
        <w:rPr>
          <w:rFonts w:ascii="Times New Roman" w:hAnsi="Times New Roman"/>
        </w:rPr>
        <w:t xml:space="preserve">available </w:t>
      </w:r>
      <w:r w:rsidR="0028404C">
        <w:rPr>
          <w:rFonts w:ascii="Times New Roman" w:hAnsi="Times New Roman"/>
        </w:rPr>
        <w:t>University</w:t>
      </w:r>
      <w:r w:rsidR="00232030">
        <w:rPr>
          <w:rFonts w:ascii="Times New Roman" w:hAnsi="Times New Roman"/>
        </w:rPr>
        <w:t xml:space="preserve"> </w:t>
      </w:r>
      <w:r w:rsidR="0028404C">
        <w:rPr>
          <w:rFonts w:ascii="Times New Roman" w:hAnsi="Times New Roman"/>
        </w:rPr>
        <w:t xml:space="preserve">owned space to accommodate </w:t>
      </w:r>
      <w:r w:rsidR="00FC054D">
        <w:rPr>
          <w:rFonts w:ascii="Times New Roman" w:hAnsi="Times New Roman"/>
        </w:rPr>
        <w:t>the</w:t>
      </w:r>
      <w:r w:rsidR="00431036">
        <w:rPr>
          <w:rFonts w:ascii="Times New Roman" w:hAnsi="Times New Roman"/>
        </w:rPr>
        <w:t xml:space="preserve"> academic and </w:t>
      </w:r>
      <w:r w:rsidR="0028404C">
        <w:rPr>
          <w:rFonts w:ascii="Times New Roman" w:hAnsi="Times New Roman"/>
        </w:rPr>
        <w:t>administrative support units currently located at the leased Uptown Crossing Building</w:t>
      </w:r>
      <w:r w:rsidR="00FC054D">
        <w:rPr>
          <w:rFonts w:ascii="Times New Roman" w:hAnsi="Times New Roman"/>
        </w:rPr>
        <w:t xml:space="preserve"> as well as other units experiencing expansion</w:t>
      </w:r>
      <w:r w:rsidR="00A964D9">
        <w:rPr>
          <w:rFonts w:ascii="Times New Roman" w:hAnsi="Times New Roman"/>
        </w:rPr>
        <w:t>,</w:t>
      </w:r>
      <w:r w:rsidR="00FC054D">
        <w:rPr>
          <w:rFonts w:ascii="Times New Roman" w:hAnsi="Times New Roman"/>
        </w:rPr>
        <w:t xml:space="preserve"> </w:t>
      </w:r>
      <w:r w:rsidR="00D87E73">
        <w:rPr>
          <w:rFonts w:ascii="Times New Roman" w:hAnsi="Times New Roman"/>
        </w:rPr>
        <w:t>and</w:t>
      </w:r>
    </w:p>
    <w:p w:rsidR="0028404C" w:rsidRPr="00C96564" w:rsidRDefault="0028404C" w:rsidP="0028404C">
      <w:pPr>
        <w:ind w:right="-1260"/>
        <w:rPr>
          <w:rFonts w:ascii="Times New Roman" w:hAnsi="Times New Roman"/>
          <w:b/>
          <w:u w:val="single"/>
        </w:rPr>
      </w:pPr>
    </w:p>
    <w:p w:rsidR="004D4694" w:rsidRPr="007C239A" w:rsidRDefault="004D4694" w:rsidP="004D4694">
      <w:pPr>
        <w:rPr>
          <w:rFonts w:ascii="Times New Roman" w:hAnsi="Times New Roman"/>
        </w:rPr>
      </w:pPr>
      <w:r>
        <w:rPr>
          <w:rFonts w:ascii="Times New Roman" w:hAnsi="Times New Roman"/>
        </w:rPr>
        <w:t xml:space="preserve">Whereas, Illinois State University has </w:t>
      </w:r>
      <w:r w:rsidR="00FC054D">
        <w:rPr>
          <w:rFonts w:ascii="Times New Roman" w:hAnsi="Times New Roman"/>
        </w:rPr>
        <w:t xml:space="preserve">negotiated with JRH, MRH LLC – 206 North Normal Series </w:t>
      </w:r>
      <w:r w:rsidR="002D6C4E">
        <w:rPr>
          <w:rFonts w:ascii="Times New Roman" w:hAnsi="Times New Roman"/>
        </w:rPr>
        <w:t>to renew the current lease for an additional five years and</w:t>
      </w:r>
      <w:r w:rsidR="00FC054D">
        <w:rPr>
          <w:rFonts w:ascii="Times New Roman" w:hAnsi="Times New Roman"/>
        </w:rPr>
        <w:t xml:space="preserve"> </w:t>
      </w:r>
      <w:r>
        <w:rPr>
          <w:rFonts w:ascii="Times New Roman" w:hAnsi="Times New Roman"/>
        </w:rPr>
        <w:t xml:space="preserve">secured </w:t>
      </w:r>
      <w:r w:rsidR="002D6C4E">
        <w:rPr>
          <w:rFonts w:ascii="Times New Roman" w:hAnsi="Times New Roman"/>
        </w:rPr>
        <w:t xml:space="preserve">necessary state </w:t>
      </w:r>
      <w:r>
        <w:rPr>
          <w:rFonts w:ascii="Times New Roman" w:hAnsi="Times New Roman"/>
        </w:rPr>
        <w:t>approval</w:t>
      </w:r>
      <w:r w:rsidR="002D6C4E">
        <w:rPr>
          <w:rFonts w:ascii="Times New Roman" w:hAnsi="Times New Roman"/>
        </w:rPr>
        <w:t>s</w:t>
      </w:r>
      <w:r>
        <w:rPr>
          <w:rFonts w:ascii="Times New Roman" w:hAnsi="Times New Roman"/>
        </w:rPr>
        <w:t xml:space="preserve"> to proceed with this lease renewal</w:t>
      </w:r>
      <w:r w:rsidR="002D6C4E">
        <w:rPr>
          <w:rFonts w:ascii="Times New Roman" w:hAnsi="Times New Roman"/>
        </w:rPr>
        <w:t>, pending Board of Trustees approval</w:t>
      </w:r>
      <w:r>
        <w:rPr>
          <w:rFonts w:ascii="Times New Roman" w:hAnsi="Times New Roman"/>
        </w:rPr>
        <w:t xml:space="preserve">, </w:t>
      </w:r>
      <w:r w:rsidR="00D87E73">
        <w:rPr>
          <w:rFonts w:ascii="Times New Roman" w:hAnsi="Times New Roman"/>
          <w:szCs w:val="20"/>
        </w:rPr>
        <w:t>and</w:t>
      </w:r>
    </w:p>
    <w:p w:rsidR="00431036" w:rsidRPr="00C96564" w:rsidRDefault="00431036" w:rsidP="0028404C">
      <w:pPr>
        <w:rPr>
          <w:rFonts w:ascii="Times New Roman" w:hAnsi="Times New Roman"/>
        </w:rPr>
      </w:pPr>
    </w:p>
    <w:p w:rsidR="0028404C" w:rsidRDefault="0028404C" w:rsidP="0028404C">
      <w:pPr>
        <w:rPr>
          <w:rFonts w:ascii="Times New Roman" w:hAnsi="Times New Roman"/>
        </w:rPr>
      </w:pPr>
      <w:r>
        <w:rPr>
          <w:rFonts w:ascii="Times New Roman" w:hAnsi="Times New Roman"/>
        </w:rPr>
        <w:t>Whereas, the Board of Trustees of Illinois State University has the author</w:t>
      </w:r>
      <w:r w:rsidR="00D87E73">
        <w:rPr>
          <w:rFonts w:ascii="Times New Roman" w:hAnsi="Times New Roman"/>
        </w:rPr>
        <w:t>ity to lease real property, and</w:t>
      </w:r>
    </w:p>
    <w:p w:rsidR="007E31AF" w:rsidRDefault="007E31AF" w:rsidP="0028404C">
      <w:pPr>
        <w:rPr>
          <w:rFonts w:ascii="Times New Roman" w:hAnsi="Times New Roman"/>
        </w:rPr>
      </w:pPr>
    </w:p>
    <w:p w:rsidR="007E31AF" w:rsidRPr="00C96564" w:rsidRDefault="007E31AF" w:rsidP="0028404C">
      <w:pPr>
        <w:rPr>
          <w:rFonts w:ascii="Times New Roman" w:hAnsi="Times New Roman"/>
        </w:rPr>
      </w:pPr>
      <w:r>
        <w:rPr>
          <w:rFonts w:ascii="Times New Roman" w:hAnsi="Times New Roman"/>
        </w:rPr>
        <w:t>Whereas, University policy requires Board of Trustees approval on financial commitments of $500,000 or more:</w:t>
      </w:r>
    </w:p>
    <w:p w:rsidR="00AD4B52" w:rsidRDefault="00AD4B52" w:rsidP="003F0CA3">
      <w:pPr>
        <w:rPr>
          <w:rFonts w:ascii="Times New Roman" w:hAnsi="Times New Roman"/>
        </w:rPr>
      </w:pPr>
    </w:p>
    <w:p w:rsidR="00AD4B52" w:rsidRDefault="001301BD" w:rsidP="003F0CA3">
      <w:pPr>
        <w:rPr>
          <w:rFonts w:ascii="Times New Roman" w:hAnsi="Times New Roman"/>
        </w:rPr>
      </w:pPr>
      <w:r w:rsidRPr="00C96564">
        <w:rPr>
          <w:rFonts w:ascii="Times New Roman" w:hAnsi="Times New Roman"/>
        </w:rPr>
        <w:t xml:space="preserve">Therefore, be it resolved </w:t>
      </w:r>
      <w:r w:rsidR="00AD4B52">
        <w:rPr>
          <w:rFonts w:ascii="Times New Roman" w:hAnsi="Times New Roman"/>
        </w:rPr>
        <w:t>by</w:t>
      </w:r>
      <w:r w:rsidRPr="00C96564">
        <w:rPr>
          <w:rFonts w:ascii="Times New Roman" w:hAnsi="Times New Roman"/>
        </w:rPr>
        <w:t xml:space="preserve"> the Board of Trustees </w:t>
      </w:r>
      <w:r w:rsidR="00AD4B52">
        <w:rPr>
          <w:rFonts w:ascii="Times New Roman" w:hAnsi="Times New Roman"/>
        </w:rPr>
        <w:t>that:</w:t>
      </w:r>
    </w:p>
    <w:p w:rsidR="00AD4B52" w:rsidRDefault="00AD4B52" w:rsidP="003F0CA3">
      <w:pPr>
        <w:rPr>
          <w:rFonts w:ascii="Times New Roman" w:hAnsi="Times New Roman"/>
        </w:rPr>
      </w:pPr>
    </w:p>
    <w:p w:rsidR="008916B1" w:rsidRDefault="00AD4B52" w:rsidP="00AD4B52">
      <w:pPr>
        <w:pStyle w:val="ListParagraph"/>
        <w:numPr>
          <w:ilvl w:val="0"/>
          <w:numId w:val="1"/>
        </w:numPr>
        <w:rPr>
          <w:rFonts w:ascii="Times New Roman" w:hAnsi="Times New Roman"/>
        </w:rPr>
      </w:pPr>
      <w:r>
        <w:rPr>
          <w:rFonts w:ascii="Times New Roman" w:hAnsi="Times New Roman"/>
        </w:rPr>
        <w:t>The Board authorizes the President of the University to enter into an agreement with JRH, MRH LLC – 206 North Normal Series</w:t>
      </w:r>
      <w:r w:rsidRPr="00AD4B52">
        <w:rPr>
          <w:rFonts w:ascii="Times New Roman" w:hAnsi="Times New Roman"/>
        </w:rPr>
        <w:t xml:space="preserve"> </w:t>
      </w:r>
      <w:r>
        <w:rPr>
          <w:rFonts w:ascii="Times New Roman" w:hAnsi="Times New Roman"/>
        </w:rPr>
        <w:t xml:space="preserve"> to </w:t>
      </w:r>
      <w:r w:rsidR="0040197A">
        <w:rPr>
          <w:rFonts w:ascii="Times New Roman" w:hAnsi="Times New Roman"/>
        </w:rPr>
        <w:t xml:space="preserve">exercise the 5 year </w:t>
      </w:r>
      <w:r>
        <w:rPr>
          <w:rFonts w:ascii="Times New Roman" w:hAnsi="Times New Roman"/>
        </w:rPr>
        <w:t xml:space="preserve">lease </w:t>
      </w:r>
      <w:r w:rsidR="0040197A">
        <w:rPr>
          <w:rFonts w:ascii="Times New Roman" w:hAnsi="Times New Roman"/>
        </w:rPr>
        <w:t xml:space="preserve">renewal </w:t>
      </w:r>
      <w:r>
        <w:rPr>
          <w:rFonts w:ascii="Times New Roman" w:hAnsi="Times New Roman"/>
        </w:rPr>
        <w:t>of the aforementioned real subject property subject to the following conditions</w:t>
      </w:r>
      <w:r w:rsidR="008916B1">
        <w:rPr>
          <w:rFonts w:ascii="Times New Roman" w:hAnsi="Times New Roman"/>
        </w:rPr>
        <w:t>:</w:t>
      </w:r>
    </w:p>
    <w:p w:rsidR="001C51B9" w:rsidRDefault="00AD4B52" w:rsidP="00304778">
      <w:pPr>
        <w:pStyle w:val="ListParagraph"/>
        <w:rPr>
          <w:rFonts w:ascii="Times New Roman" w:hAnsi="Times New Roman"/>
        </w:rPr>
      </w:pPr>
      <w:r>
        <w:rPr>
          <w:rFonts w:ascii="Times New Roman" w:hAnsi="Times New Roman"/>
        </w:rPr>
        <w:t xml:space="preserve"> </w:t>
      </w:r>
    </w:p>
    <w:p w:rsidR="001C51B9" w:rsidRDefault="008916B1" w:rsidP="002B4BAD">
      <w:pPr>
        <w:pStyle w:val="ListParagraph"/>
        <w:numPr>
          <w:ilvl w:val="1"/>
          <w:numId w:val="1"/>
        </w:numPr>
        <w:rPr>
          <w:rFonts w:ascii="Times New Roman" w:hAnsi="Times New Roman"/>
        </w:rPr>
      </w:pPr>
      <w:r>
        <w:rPr>
          <w:rFonts w:ascii="Times New Roman" w:hAnsi="Times New Roman"/>
        </w:rPr>
        <w:t>T</w:t>
      </w:r>
      <w:r w:rsidR="00AD4B52">
        <w:rPr>
          <w:rFonts w:ascii="Times New Roman" w:hAnsi="Times New Roman"/>
        </w:rPr>
        <w:t>he lease term shall be for a period of five years</w:t>
      </w:r>
      <w:r w:rsidR="00437ED0">
        <w:rPr>
          <w:rFonts w:ascii="Times New Roman" w:hAnsi="Times New Roman"/>
        </w:rPr>
        <w:t xml:space="preserve"> beginning in </w:t>
      </w:r>
      <w:r w:rsidR="001C51B9">
        <w:rPr>
          <w:rFonts w:ascii="Times New Roman" w:hAnsi="Times New Roman"/>
        </w:rPr>
        <w:t>June</w:t>
      </w:r>
      <w:r w:rsidR="007E31AF">
        <w:rPr>
          <w:rFonts w:ascii="Times New Roman" w:hAnsi="Times New Roman"/>
        </w:rPr>
        <w:t xml:space="preserve"> </w:t>
      </w:r>
      <w:r w:rsidR="00437ED0">
        <w:rPr>
          <w:rFonts w:ascii="Times New Roman" w:hAnsi="Times New Roman"/>
        </w:rPr>
        <w:t>2015</w:t>
      </w:r>
      <w:r w:rsidR="00162971">
        <w:rPr>
          <w:rFonts w:ascii="Times New Roman" w:hAnsi="Times New Roman"/>
        </w:rPr>
        <w:t>.</w:t>
      </w:r>
    </w:p>
    <w:p w:rsidR="008916B1" w:rsidRDefault="008916B1" w:rsidP="00304778">
      <w:pPr>
        <w:pStyle w:val="ListParagraph"/>
        <w:ind w:left="1440"/>
        <w:rPr>
          <w:rFonts w:ascii="Times New Roman" w:hAnsi="Times New Roman"/>
        </w:rPr>
      </w:pPr>
    </w:p>
    <w:p w:rsidR="00162971" w:rsidRPr="00304778" w:rsidRDefault="008916B1" w:rsidP="002B4BAD">
      <w:pPr>
        <w:pStyle w:val="ListParagraph"/>
        <w:numPr>
          <w:ilvl w:val="1"/>
          <w:numId w:val="1"/>
        </w:numPr>
        <w:rPr>
          <w:rFonts w:ascii="Times New Roman" w:hAnsi="Times New Roman"/>
        </w:rPr>
      </w:pPr>
      <w:r>
        <w:rPr>
          <w:rFonts w:ascii="Times New Roman" w:hAnsi="Times New Roman"/>
          <w:color w:val="000000" w:themeColor="text1"/>
        </w:rPr>
        <w:t xml:space="preserve">The </w:t>
      </w:r>
      <w:r w:rsidR="00437ED0" w:rsidRPr="00437ED0">
        <w:rPr>
          <w:rFonts w:ascii="Times New Roman" w:hAnsi="Times New Roman"/>
          <w:color w:val="000000" w:themeColor="text1"/>
        </w:rPr>
        <w:t>base</w:t>
      </w:r>
      <w:r w:rsidR="00437ED0">
        <w:rPr>
          <w:rFonts w:ascii="Times New Roman" w:hAnsi="Times New Roman"/>
          <w:color w:val="000000" w:themeColor="text1"/>
        </w:rPr>
        <w:t xml:space="preserve"> rent during year one of the </w:t>
      </w:r>
      <w:r>
        <w:rPr>
          <w:rFonts w:ascii="Times New Roman" w:hAnsi="Times New Roman"/>
          <w:color w:val="000000" w:themeColor="text1"/>
        </w:rPr>
        <w:t xml:space="preserve">renewal </w:t>
      </w:r>
      <w:r w:rsidR="00437ED0">
        <w:rPr>
          <w:rFonts w:ascii="Times New Roman" w:hAnsi="Times New Roman"/>
          <w:color w:val="000000" w:themeColor="text1"/>
        </w:rPr>
        <w:t>term shall be a fixed annual amount equal to the annual base rent ($15.96</w:t>
      </w:r>
      <w:r>
        <w:rPr>
          <w:rFonts w:ascii="Times New Roman" w:hAnsi="Times New Roman"/>
          <w:color w:val="000000" w:themeColor="text1"/>
        </w:rPr>
        <w:t xml:space="preserve"> per square foot</w:t>
      </w:r>
      <w:r w:rsidR="00437ED0">
        <w:rPr>
          <w:rFonts w:ascii="Times New Roman" w:hAnsi="Times New Roman"/>
          <w:color w:val="000000" w:themeColor="text1"/>
        </w:rPr>
        <w:t xml:space="preserve">) </w:t>
      </w:r>
      <w:r>
        <w:rPr>
          <w:rFonts w:ascii="Times New Roman" w:hAnsi="Times New Roman"/>
          <w:color w:val="000000" w:themeColor="text1"/>
        </w:rPr>
        <w:t xml:space="preserve">of the original five year lease </w:t>
      </w:r>
      <w:r w:rsidR="00437ED0">
        <w:rPr>
          <w:rFonts w:ascii="Times New Roman" w:hAnsi="Times New Roman"/>
          <w:color w:val="000000" w:themeColor="text1"/>
        </w:rPr>
        <w:t xml:space="preserve">adjusted by </w:t>
      </w:r>
      <w:r w:rsidR="00437ED0">
        <w:rPr>
          <w:rFonts w:ascii="Times New Roman" w:hAnsi="Times New Roman"/>
          <w:color w:val="000000" w:themeColor="text1"/>
        </w:rPr>
        <w:lastRenderedPageBreak/>
        <w:t>the annual percent change in the Consumer Price Index for March 2015 from the same index for March 2014</w:t>
      </w:r>
      <w:r w:rsidR="00162971">
        <w:rPr>
          <w:rFonts w:ascii="Times New Roman" w:hAnsi="Times New Roman"/>
          <w:color w:val="000000" w:themeColor="text1"/>
        </w:rPr>
        <w:t>.</w:t>
      </w:r>
      <w:r w:rsidR="00437ED0">
        <w:rPr>
          <w:rFonts w:ascii="Times New Roman" w:hAnsi="Times New Roman"/>
          <w:color w:val="000000" w:themeColor="text1"/>
        </w:rPr>
        <w:t xml:space="preserve"> </w:t>
      </w:r>
    </w:p>
    <w:p w:rsidR="001C51B9" w:rsidRPr="002B4BAD" w:rsidRDefault="001C51B9" w:rsidP="00304778">
      <w:pPr>
        <w:pStyle w:val="ListParagraph"/>
        <w:ind w:left="1440"/>
        <w:rPr>
          <w:rFonts w:ascii="Times New Roman" w:hAnsi="Times New Roman"/>
        </w:rPr>
      </w:pPr>
    </w:p>
    <w:p w:rsidR="00162971" w:rsidRPr="00304778" w:rsidRDefault="00162971" w:rsidP="002B4BAD">
      <w:pPr>
        <w:pStyle w:val="ListParagraph"/>
        <w:numPr>
          <w:ilvl w:val="1"/>
          <w:numId w:val="1"/>
        </w:numPr>
        <w:rPr>
          <w:rFonts w:ascii="Times New Roman" w:hAnsi="Times New Roman"/>
        </w:rPr>
      </w:pPr>
      <w:r>
        <w:rPr>
          <w:rFonts w:ascii="Times New Roman" w:hAnsi="Times New Roman"/>
          <w:color w:val="000000" w:themeColor="text1"/>
        </w:rPr>
        <w:t>F</w:t>
      </w:r>
      <w:r w:rsidR="00437ED0">
        <w:rPr>
          <w:rFonts w:ascii="Times New Roman" w:hAnsi="Times New Roman"/>
          <w:color w:val="000000" w:themeColor="text1"/>
        </w:rPr>
        <w:t>or each of the remaining four years</w:t>
      </w:r>
      <w:r>
        <w:rPr>
          <w:rFonts w:ascii="Times New Roman" w:hAnsi="Times New Roman"/>
          <w:color w:val="000000" w:themeColor="text1"/>
        </w:rPr>
        <w:t>, the</w:t>
      </w:r>
      <w:r w:rsidR="00437ED0">
        <w:rPr>
          <w:rFonts w:ascii="Times New Roman" w:hAnsi="Times New Roman"/>
          <w:color w:val="000000" w:themeColor="text1"/>
        </w:rPr>
        <w:t xml:space="preserve"> </w:t>
      </w:r>
      <w:r w:rsidR="00437ED0" w:rsidRPr="00437ED0">
        <w:rPr>
          <w:rFonts w:ascii="Times New Roman" w:hAnsi="Times New Roman"/>
          <w:color w:val="000000" w:themeColor="text1"/>
        </w:rPr>
        <w:t>base</w:t>
      </w:r>
      <w:r w:rsidR="00437ED0">
        <w:rPr>
          <w:rFonts w:ascii="Times New Roman" w:hAnsi="Times New Roman"/>
          <w:color w:val="000000" w:themeColor="text1"/>
        </w:rPr>
        <w:t xml:space="preserve"> rent shall be a fixed annual amount equal to the </w:t>
      </w:r>
      <w:r>
        <w:rPr>
          <w:rFonts w:ascii="Times New Roman" w:hAnsi="Times New Roman"/>
          <w:color w:val="000000" w:themeColor="text1"/>
        </w:rPr>
        <w:t>previous</w:t>
      </w:r>
      <w:r w:rsidR="00437ED0">
        <w:rPr>
          <w:rFonts w:ascii="Times New Roman" w:hAnsi="Times New Roman"/>
          <w:color w:val="000000" w:themeColor="text1"/>
        </w:rPr>
        <w:t xml:space="preserve"> year annual base rent adjusted by the annual percent change in the Consumer Price Index for March of the current year from the same index for March of the previous year</w:t>
      </w:r>
      <w:r>
        <w:rPr>
          <w:rFonts w:ascii="Times New Roman" w:hAnsi="Times New Roman"/>
          <w:color w:val="000000" w:themeColor="text1"/>
        </w:rPr>
        <w:t>.</w:t>
      </w:r>
    </w:p>
    <w:p w:rsidR="001C51B9" w:rsidRPr="00304778" w:rsidRDefault="002B4BAD" w:rsidP="00304778">
      <w:pPr>
        <w:ind w:left="1080"/>
        <w:rPr>
          <w:rFonts w:ascii="Times New Roman" w:hAnsi="Times New Roman"/>
        </w:rPr>
      </w:pPr>
      <w:r w:rsidRPr="00304778">
        <w:rPr>
          <w:rFonts w:ascii="Times New Roman" w:hAnsi="Times New Roman"/>
          <w:color w:val="000000" w:themeColor="text1"/>
        </w:rPr>
        <w:t xml:space="preserve"> </w:t>
      </w:r>
    </w:p>
    <w:p w:rsidR="00AD4B52" w:rsidRPr="002B4BAD" w:rsidRDefault="00240D81" w:rsidP="002B4BAD">
      <w:pPr>
        <w:pStyle w:val="ListParagraph"/>
        <w:numPr>
          <w:ilvl w:val="1"/>
          <w:numId w:val="1"/>
        </w:numPr>
        <w:rPr>
          <w:rFonts w:ascii="Times New Roman" w:hAnsi="Times New Roman"/>
        </w:rPr>
      </w:pPr>
      <w:r>
        <w:rPr>
          <w:rFonts w:ascii="Times New Roman" w:hAnsi="Times New Roman"/>
          <w:color w:val="000000" w:themeColor="text1"/>
        </w:rPr>
        <w:t>T</w:t>
      </w:r>
      <w:r w:rsidR="003F62AC">
        <w:rPr>
          <w:rFonts w:ascii="Times New Roman" w:hAnsi="Times New Roman"/>
          <w:color w:val="000000" w:themeColor="text1"/>
        </w:rPr>
        <w:t>otal rental payments are not to exceed $</w:t>
      </w:r>
      <w:r w:rsidR="000A70C7">
        <w:rPr>
          <w:rFonts w:ascii="Times New Roman" w:hAnsi="Times New Roman"/>
          <w:color w:val="000000" w:themeColor="text1"/>
        </w:rPr>
        <w:t>4</w:t>
      </w:r>
      <w:r w:rsidR="003F62AC">
        <w:rPr>
          <w:rFonts w:ascii="Times New Roman" w:hAnsi="Times New Roman"/>
          <w:color w:val="000000" w:themeColor="text1"/>
        </w:rPr>
        <w:t>,</w:t>
      </w:r>
      <w:r w:rsidR="000A70C7">
        <w:rPr>
          <w:rFonts w:ascii="Times New Roman" w:hAnsi="Times New Roman"/>
          <w:color w:val="000000" w:themeColor="text1"/>
        </w:rPr>
        <w:t>00</w:t>
      </w:r>
      <w:r w:rsidR="003F62AC">
        <w:rPr>
          <w:rFonts w:ascii="Times New Roman" w:hAnsi="Times New Roman"/>
          <w:color w:val="000000" w:themeColor="text1"/>
        </w:rPr>
        <w:t>0,000</w:t>
      </w:r>
      <w:r w:rsidR="00EB64E3">
        <w:rPr>
          <w:rFonts w:ascii="Times New Roman" w:hAnsi="Times New Roman"/>
          <w:color w:val="000000" w:themeColor="text1"/>
        </w:rPr>
        <w:t>.</w:t>
      </w:r>
    </w:p>
    <w:p w:rsidR="007E31AF" w:rsidRPr="005B307A" w:rsidRDefault="007E31AF" w:rsidP="002B4BAD">
      <w:pPr>
        <w:pStyle w:val="ListParagraph"/>
        <w:rPr>
          <w:rFonts w:ascii="Times New Roman" w:hAnsi="Times New Roman"/>
        </w:rPr>
      </w:pPr>
    </w:p>
    <w:p w:rsidR="005B307A" w:rsidRPr="005B307A" w:rsidRDefault="005B307A" w:rsidP="005B307A">
      <w:pPr>
        <w:pStyle w:val="ListParagraph"/>
        <w:numPr>
          <w:ilvl w:val="0"/>
          <w:numId w:val="1"/>
        </w:numPr>
        <w:rPr>
          <w:rFonts w:ascii="Times New Roman" w:hAnsi="Times New Roman"/>
        </w:rPr>
      </w:pPr>
      <w:r w:rsidRPr="005B307A">
        <w:rPr>
          <w:rFonts w:ascii="Times New Roman" w:hAnsi="Times New Roman"/>
        </w:rPr>
        <w:t>The Chairperson, the Secretary and the Treasurer of the Board and the members, officers, agents and employees of the Board are hereby authorized and directed to do all such acts and to execute all such documents as may be necessary to carry out and comply with the provisions of this resolution and with the actions of the members, officers, agents and employees of the Board, which are in conformity with the intent and purposes of this resolution, whether heretofore or hereafter taken or done, which actions shall be and are ratified, confirmed and approved.</w:t>
      </w:r>
      <w:r w:rsidRPr="005B307A">
        <w:rPr>
          <w:rFonts w:ascii="Times New Roman" w:hAnsi="Times New Roman"/>
          <w:b/>
          <w:color w:val="FF0000"/>
        </w:rPr>
        <w:t xml:space="preserve"> </w:t>
      </w:r>
    </w:p>
    <w:p w:rsidR="00CE130C" w:rsidRDefault="00CE130C" w:rsidP="003F0CA3">
      <w:pPr>
        <w:rPr>
          <w:rFonts w:ascii="Times New Roman" w:hAnsi="Times New Roman"/>
          <w:szCs w:val="20"/>
        </w:rPr>
      </w:pPr>
    </w:p>
    <w:p w:rsidR="005E50C6" w:rsidRPr="00C96564" w:rsidRDefault="005E50C6" w:rsidP="003F0CA3">
      <w:pPr>
        <w:rPr>
          <w:rFonts w:ascii="Times New Roman" w:hAnsi="Times New Roman"/>
        </w:rPr>
      </w:pPr>
    </w:p>
    <w:p w:rsidR="00D22FA6" w:rsidRPr="00C96564" w:rsidRDefault="00D22FA6" w:rsidP="00D22FA6">
      <w:pPr>
        <w:ind w:right="-720"/>
        <w:rPr>
          <w:rFonts w:ascii="Times New Roman" w:hAnsi="Times New Roman"/>
          <w:u w:val="single"/>
        </w:rPr>
      </w:pP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decimal" w:pos="270"/>
        </w:tabs>
        <w:ind w:right="-720"/>
        <w:rPr>
          <w:rFonts w:ascii="Times New Roman" w:hAnsi="Times New Roman"/>
        </w:rPr>
      </w:pPr>
      <w:r w:rsidRPr="00C96564">
        <w:rPr>
          <w:rFonts w:ascii="Times New Roman" w:hAnsi="Times New Roman"/>
        </w:rPr>
        <w:t xml:space="preserve">Board Action on: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Postpone:</w:t>
      </w:r>
      <w:r w:rsidRPr="00C96564">
        <w:rPr>
          <w:rFonts w:ascii="Times New Roman" w:hAnsi="Times New Roman"/>
          <w:u w:val="single"/>
        </w:rPr>
        <w:tab/>
      </w:r>
      <w:r w:rsidRPr="00C96564">
        <w:rPr>
          <w:rFonts w:ascii="Times New Roman" w:hAnsi="Times New Roman"/>
          <w:u w:val="single"/>
        </w:rPr>
        <w:tab/>
        <w:t xml:space="preserve">                              </w:t>
      </w:r>
      <w:r w:rsidRPr="00C96564">
        <w:rPr>
          <w:rFonts w:ascii="Times New Roman" w:hAnsi="Times New Roman"/>
          <w:u w:val="single"/>
        </w:rPr>
        <w:tab/>
        <w:t xml:space="preserve">                     </w:t>
      </w:r>
    </w:p>
    <w:p w:rsidR="00D22FA6" w:rsidRPr="00C96564" w:rsidRDefault="00D22FA6" w:rsidP="00D22FA6">
      <w:pPr>
        <w:tabs>
          <w:tab w:val="left" w:pos="360"/>
        </w:tabs>
        <w:ind w:left="-720" w:right="-720"/>
        <w:rPr>
          <w:rFonts w:ascii="Times New Roman" w:hAnsi="Times New Roman"/>
        </w:rPr>
      </w:pPr>
      <w:r w:rsidRPr="00C96564">
        <w:rPr>
          <w:rFonts w:ascii="Times New Roman" w:hAnsi="Times New Roman"/>
        </w:rPr>
        <w:tab/>
        <w:t xml:space="preserve">   Motion by: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Amend:</w:t>
      </w:r>
      <w:r w:rsidRPr="00C96564">
        <w:rPr>
          <w:rFonts w:ascii="Times New Roman" w:hAnsi="Times New Roman"/>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left" w:pos="360"/>
        </w:tabs>
        <w:ind w:left="-720" w:right="-720"/>
        <w:rPr>
          <w:rFonts w:ascii="Times New Roman" w:hAnsi="Times New Roman"/>
        </w:rPr>
      </w:pPr>
      <w:r w:rsidRPr="00C96564">
        <w:rPr>
          <w:rFonts w:ascii="Times New Roman" w:hAnsi="Times New Roman"/>
        </w:rPr>
        <w:tab/>
        <w:t xml:space="preserve">   Second by: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Disapprove:</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left" w:pos="360"/>
        </w:tabs>
        <w:ind w:right="-810"/>
        <w:jc w:val="both"/>
        <w:rPr>
          <w:rFonts w:ascii="Times New Roman" w:hAnsi="Times New Roman"/>
        </w:rPr>
      </w:pPr>
      <w:r w:rsidRPr="00C96564">
        <w:rPr>
          <w:rFonts w:ascii="Times New Roman" w:hAnsi="Times New Roman"/>
        </w:rPr>
        <w:tab/>
        <w:t xml:space="preserve">   Vote:</w:t>
      </w:r>
      <w:r w:rsidRPr="00C96564">
        <w:rPr>
          <w:rFonts w:ascii="Times New Roman" w:hAnsi="Times New Roman"/>
        </w:rPr>
        <w:tab/>
        <w:t>Yeas:</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Nays:</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Approve:</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ind w:right="-720"/>
        <w:rPr>
          <w:rFonts w:ascii="Times New Roman" w:hAnsi="Times New Roman"/>
          <w:u w:val="single"/>
        </w:rPr>
      </w:pPr>
      <w:r w:rsidRPr="00C96564">
        <w:rPr>
          <w:rFonts w:ascii="Times New Roman" w:hAnsi="Times New Roman"/>
          <w:u w:val="single"/>
        </w:rPr>
        <w:t xml:space="preserve">        </w:t>
      </w:r>
    </w:p>
    <w:p w:rsidR="00D22FA6" w:rsidRDefault="00D22FA6" w:rsidP="00D22FA6">
      <w:pPr>
        <w:ind w:right="-720"/>
        <w:rPr>
          <w:rFonts w:ascii="Times New Roman" w:hAnsi="Times New Roman"/>
          <w:u w:val="single"/>
        </w:rPr>
      </w:pP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t xml:space="preserve">              </w:t>
      </w:r>
      <w:r w:rsidR="00DB69A9">
        <w:rPr>
          <w:rFonts w:ascii="Times New Roman" w:hAnsi="Times New Roman"/>
        </w:rPr>
        <w:t xml:space="preserve">  </w:t>
      </w:r>
      <w:r w:rsidRPr="00C96564">
        <w:rPr>
          <w:rFonts w:ascii="Times New Roman" w:hAnsi="Times New Roman"/>
          <w:u w:val="single"/>
        </w:rPr>
        <w:t xml:space="preserve">ATTEST: Board Action, </w:t>
      </w:r>
      <w:r w:rsidR="00EB64E3">
        <w:rPr>
          <w:rFonts w:ascii="Times New Roman" w:hAnsi="Times New Roman"/>
          <w:u w:val="single"/>
        </w:rPr>
        <w:t>May 8,</w:t>
      </w:r>
      <w:r w:rsidR="00A73F6D">
        <w:rPr>
          <w:rFonts w:ascii="Times New Roman" w:hAnsi="Times New Roman"/>
          <w:u w:val="single"/>
        </w:rPr>
        <w:t xml:space="preserve"> </w:t>
      </w:r>
      <w:r w:rsidRPr="00C96564">
        <w:rPr>
          <w:rFonts w:ascii="Times New Roman" w:hAnsi="Times New Roman"/>
          <w:u w:val="single"/>
        </w:rPr>
        <w:t>20</w:t>
      </w:r>
      <w:r w:rsidR="00A73F6D">
        <w:rPr>
          <w:rFonts w:ascii="Times New Roman" w:hAnsi="Times New Roman"/>
          <w:u w:val="single"/>
        </w:rPr>
        <w:t>15</w:t>
      </w:r>
    </w:p>
    <w:p w:rsidR="00D50029" w:rsidRDefault="00D50029" w:rsidP="00D22FA6">
      <w:pPr>
        <w:ind w:right="-720"/>
        <w:rPr>
          <w:rFonts w:ascii="Times New Roman" w:hAnsi="Times New Roman"/>
          <w:u w:val="single"/>
        </w:rPr>
      </w:pPr>
    </w:p>
    <w:p w:rsidR="00D50029" w:rsidRDefault="00D50029" w:rsidP="00D22FA6">
      <w:pPr>
        <w:ind w:right="-720"/>
        <w:rPr>
          <w:rFonts w:ascii="Times New Roman" w:hAnsi="Times New Roman"/>
          <w:u w:val="single"/>
        </w:rPr>
      </w:pPr>
    </w:p>
    <w:p w:rsidR="00D50029" w:rsidRPr="00C96564" w:rsidRDefault="00D50029" w:rsidP="00D22FA6">
      <w:pPr>
        <w:ind w:right="-720"/>
        <w:rPr>
          <w:rFonts w:ascii="Times New Roman" w:hAnsi="Times New Roman"/>
        </w:rPr>
      </w:pPr>
    </w:p>
    <w:p w:rsidR="00D22FA6" w:rsidRPr="00C96564" w:rsidRDefault="00D22FA6" w:rsidP="00D22FA6">
      <w:pPr>
        <w:ind w:right="-720"/>
        <w:rPr>
          <w:rFonts w:ascii="Times New Roman" w:hAnsi="Times New Roman"/>
        </w:rPr>
      </w:pP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t xml:space="preserve">     ________________________________</w:t>
      </w:r>
      <w:r w:rsidRPr="00C96564">
        <w:rPr>
          <w:rFonts w:ascii="Times New Roman" w:hAnsi="Times New Roman"/>
        </w:rPr>
        <w:tab/>
      </w:r>
      <w:r w:rsidRPr="00C96564">
        <w:rPr>
          <w:rFonts w:ascii="Times New Roman" w:hAnsi="Times New Roman"/>
        </w:rPr>
        <w:tab/>
        <w:t xml:space="preserve">                                                                                                                                  Secretary/Chairperson</w:t>
      </w:r>
    </w:p>
    <w:p w:rsidR="005C1A72" w:rsidRDefault="005C1A72" w:rsidP="00D22FA6">
      <w:pPr>
        <w:jc w:val="center"/>
        <w:rPr>
          <w:rFonts w:ascii="Times New Roman" w:hAnsi="Times New Roman"/>
          <w:b/>
        </w:rPr>
      </w:pPr>
    </w:p>
    <w:p w:rsidR="005C1A72" w:rsidRDefault="005C1A72" w:rsidP="00D22FA6">
      <w:pPr>
        <w:jc w:val="center"/>
        <w:rPr>
          <w:rFonts w:ascii="Times New Roman" w:hAnsi="Times New Roman"/>
          <w:b/>
        </w:rPr>
      </w:pPr>
    </w:p>
    <w:p w:rsidR="001E5E2A" w:rsidRDefault="001E5E2A" w:rsidP="005E50C6">
      <w:pPr>
        <w:autoSpaceDE/>
        <w:autoSpaceDN/>
        <w:jc w:val="center"/>
        <w:rPr>
          <w:rFonts w:ascii="Times New Roman" w:hAnsi="Times New Roman"/>
          <w:b/>
        </w:rPr>
      </w:pPr>
    </w:p>
    <w:p w:rsidR="005B307A" w:rsidRDefault="005B307A">
      <w:pPr>
        <w:autoSpaceDE/>
        <w:autoSpaceDN/>
        <w:rPr>
          <w:rFonts w:ascii="Times New Roman" w:hAnsi="Times New Roman"/>
          <w:b/>
        </w:rPr>
      </w:pPr>
      <w:r>
        <w:rPr>
          <w:rFonts w:ascii="Times New Roman" w:hAnsi="Times New Roman"/>
          <w:b/>
        </w:rPr>
        <w:br w:type="page"/>
      </w:r>
    </w:p>
    <w:p w:rsidR="00D22FA6" w:rsidRPr="00C96564" w:rsidRDefault="00D22FA6" w:rsidP="005E50C6">
      <w:pPr>
        <w:autoSpaceDE/>
        <w:autoSpaceDN/>
        <w:jc w:val="center"/>
        <w:rPr>
          <w:rFonts w:ascii="Times New Roman" w:hAnsi="Times New Roman"/>
          <w:b/>
        </w:rPr>
      </w:pPr>
      <w:r w:rsidRPr="00C96564">
        <w:rPr>
          <w:rFonts w:ascii="Times New Roman" w:hAnsi="Times New Roman"/>
          <w:b/>
        </w:rPr>
        <w:lastRenderedPageBreak/>
        <w:t>Board of Trustees</w:t>
      </w:r>
    </w:p>
    <w:p w:rsidR="00D22FA6" w:rsidRPr="00C96564" w:rsidRDefault="00D22FA6" w:rsidP="00D22FA6">
      <w:pPr>
        <w:jc w:val="center"/>
        <w:rPr>
          <w:rFonts w:ascii="Times New Roman" w:hAnsi="Times New Roman"/>
          <w:b/>
        </w:rPr>
      </w:pPr>
      <w:r w:rsidRPr="00C96564">
        <w:rPr>
          <w:rFonts w:ascii="Times New Roman" w:hAnsi="Times New Roman"/>
          <w:b/>
        </w:rPr>
        <w:t>Illinois State University</w:t>
      </w:r>
    </w:p>
    <w:p w:rsidR="00D22FA6" w:rsidRDefault="00345DB9" w:rsidP="00D22FA6">
      <w:pPr>
        <w:jc w:val="center"/>
        <w:rPr>
          <w:rFonts w:ascii="Times New Roman" w:hAnsi="Times New Roman"/>
          <w:b/>
        </w:rPr>
      </w:pPr>
      <w:r>
        <w:rPr>
          <w:rFonts w:ascii="Times New Roman" w:hAnsi="Times New Roman"/>
          <w:b/>
        </w:rPr>
        <w:t xml:space="preserve">Supplemental Information Regarding </w:t>
      </w:r>
      <w:r w:rsidR="00DA0CE9">
        <w:rPr>
          <w:rFonts w:ascii="Times New Roman" w:hAnsi="Times New Roman"/>
          <w:b/>
        </w:rPr>
        <w:t>Authorization to Renew Lease at Uptown Crossing</w:t>
      </w:r>
    </w:p>
    <w:p w:rsidR="00CF0A2D" w:rsidRDefault="00CF0A2D" w:rsidP="00227C71">
      <w:pPr>
        <w:rPr>
          <w:rFonts w:ascii="Times New Roman" w:hAnsi="Times New Roman"/>
        </w:rPr>
      </w:pPr>
    </w:p>
    <w:p w:rsidR="007E31AF" w:rsidRDefault="007E31AF" w:rsidP="007E31AF">
      <w:pPr>
        <w:rPr>
          <w:rFonts w:ascii="Times New Roman" w:eastAsia="Calibri" w:hAnsi="Times New Roman"/>
        </w:rPr>
      </w:pPr>
      <w:r w:rsidRPr="004C45D0">
        <w:rPr>
          <w:rFonts w:ascii="Times New Roman" w:eastAsia="Calibri" w:hAnsi="Times New Roman"/>
        </w:rPr>
        <w:t xml:space="preserve">Illinois State University’s </w:t>
      </w:r>
      <w:r w:rsidRPr="004C45D0">
        <w:rPr>
          <w:rFonts w:ascii="Times New Roman" w:eastAsia="Calibri" w:hAnsi="Times New Roman"/>
          <w:i/>
        </w:rPr>
        <w:t xml:space="preserve">Master Plan: </w:t>
      </w:r>
      <w:r>
        <w:rPr>
          <w:rFonts w:ascii="Times New Roman" w:eastAsia="Calibri" w:hAnsi="Times New Roman"/>
          <w:i/>
        </w:rPr>
        <w:t xml:space="preserve">2010-2030 Looking to the Future </w:t>
      </w:r>
      <w:r w:rsidRPr="004C45D0">
        <w:rPr>
          <w:rFonts w:ascii="Times New Roman" w:eastAsia="Calibri" w:hAnsi="Times New Roman"/>
        </w:rPr>
        <w:t xml:space="preserve">guides the physical development of the campus. </w:t>
      </w:r>
      <w:r>
        <w:rPr>
          <w:rFonts w:ascii="Times New Roman" w:eastAsia="Calibri" w:hAnsi="Times New Roman"/>
        </w:rPr>
        <w:t xml:space="preserve">The </w:t>
      </w:r>
      <w:r>
        <w:rPr>
          <w:rFonts w:ascii="Times New Roman" w:eastAsia="Calibri" w:hAnsi="Times New Roman"/>
          <w:i/>
        </w:rPr>
        <w:t xml:space="preserve">Master Plan </w:t>
      </w:r>
      <w:r>
        <w:rPr>
          <w:rFonts w:ascii="Times New Roman" w:eastAsia="Calibri" w:hAnsi="Times New Roman"/>
        </w:rPr>
        <w:t xml:space="preserve">advances the values and goals in the University’s strategic plan, </w:t>
      </w:r>
      <w:r>
        <w:rPr>
          <w:rFonts w:ascii="Times New Roman" w:eastAsia="Calibri" w:hAnsi="Times New Roman"/>
          <w:i/>
        </w:rPr>
        <w:t xml:space="preserve">Educating Illinois 2013-2018, Individualized Attention, Shared Aspirations.  </w:t>
      </w:r>
      <w:r>
        <w:rPr>
          <w:rFonts w:ascii="Times New Roman" w:eastAsia="Calibri" w:hAnsi="Times New Roman"/>
        </w:rPr>
        <w:t>These plans acknowledge the importance of partnerships in meeting the future needs of the University and recognize the need for the construction of new facilities and the renovation of existing facilities to properly support the Universit</w:t>
      </w:r>
      <w:r w:rsidR="00233403">
        <w:rPr>
          <w:rFonts w:ascii="Times New Roman" w:eastAsia="Calibri" w:hAnsi="Times New Roman"/>
        </w:rPr>
        <w:t>y’</w:t>
      </w:r>
      <w:r>
        <w:rPr>
          <w:rFonts w:ascii="Times New Roman" w:eastAsia="Calibri" w:hAnsi="Times New Roman"/>
        </w:rPr>
        <w:t xml:space="preserve">s programs and services.  </w:t>
      </w:r>
      <w:r w:rsidRPr="004C45D0">
        <w:rPr>
          <w:rFonts w:ascii="Times New Roman" w:eastAsia="Calibri" w:hAnsi="Times New Roman"/>
          <w:i/>
        </w:rPr>
        <w:t xml:space="preserve">Master Plan: </w:t>
      </w:r>
      <w:r>
        <w:rPr>
          <w:rFonts w:ascii="Times New Roman" w:eastAsia="Calibri" w:hAnsi="Times New Roman"/>
          <w:i/>
        </w:rPr>
        <w:t xml:space="preserve">2010-2030 </w:t>
      </w:r>
      <w:r w:rsidR="006A29F5">
        <w:rPr>
          <w:rFonts w:ascii="Times New Roman" w:eastAsia="Calibri" w:hAnsi="Times New Roman"/>
        </w:rPr>
        <w:t xml:space="preserve">recognizes the need for additional University space and recommends pursuing leasing and partnership opportunities in </w:t>
      </w:r>
      <w:r w:rsidR="0090513F">
        <w:rPr>
          <w:rFonts w:ascii="Times New Roman" w:eastAsia="Calibri" w:hAnsi="Times New Roman"/>
        </w:rPr>
        <w:t>Uptown Normal</w:t>
      </w:r>
      <w:r w:rsidR="006A29F5">
        <w:rPr>
          <w:rFonts w:ascii="Times New Roman" w:eastAsia="Calibri" w:hAnsi="Times New Roman"/>
        </w:rPr>
        <w:t xml:space="preserve">. The proximity of Uptown Normal to the University’s campus makes it a desirable area for addressing certain space needs. </w:t>
      </w:r>
    </w:p>
    <w:p w:rsidR="00583CCD" w:rsidRPr="007E31AF" w:rsidRDefault="00583CCD" w:rsidP="007E31AF">
      <w:pPr>
        <w:rPr>
          <w:rFonts w:ascii="Times New Roman" w:eastAsia="Calibri" w:hAnsi="Times New Roman"/>
        </w:rPr>
      </w:pPr>
    </w:p>
    <w:p w:rsidR="007E31AF" w:rsidRDefault="00BE3DE5" w:rsidP="00227C71">
      <w:pPr>
        <w:rPr>
          <w:rFonts w:ascii="Times New Roman" w:hAnsi="Times New Roman"/>
        </w:rPr>
      </w:pPr>
      <w:r>
        <w:rPr>
          <w:rFonts w:ascii="Times New Roman" w:hAnsi="Times New Roman"/>
        </w:rPr>
        <w:t xml:space="preserve">In July 2009, the Board of Trustees granted authority for the University to enter into a lease with JRH, MRH LLC – 206 North Normal Series for approximately 31,200 square feet of space on the second floor of the Uptown Crossing building located at 100 South Fell Street in Uptown Normal.  The space currently houses </w:t>
      </w:r>
      <w:r w:rsidR="008B6545">
        <w:rPr>
          <w:rFonts w:ascii="Times New Roman" w:hAnsi="Times New Roman"/>
        </w:rPr>
        <w:t xml:space="preserve">Research and Sponsored Programs, Comptroller’s Office units (Payroll, Purchasing, Grants Accounting, and Business Office), College of Education grant-supported activities (e.g., Connections, National Board Resource Center), and the Workforce Data Management project. </w:t>
      </w:r>
      <w:r w:rsidR="00EC1220">
        <w:rPr>
          <w:rFonts w:ascii="Times New Roman" w:hAnsi="Times New Roman"/>
        </w:rPr>
        <w:t xml:space="preserve"> </w:t>
      </w:r>
      <w:r w:rsidR="008F08B6">
        <w:rPr>
          <w:rFonts w:ascii="Times New Roman" w:hAnsi="Times New Roman"/>
        </w:rPr>
        <w:t xml:space="preserve">Plans to move the Research, Ethics and Compliance office to the facility are underway. </w:t>
      </w:r>
      <w:r w:rsidR="00EC1220">
        <w:rPr>
          <w:rFonts w:ascii="Times New Roman" w:hAnsi="Times New Roman"/>
        </w:rPr>
        <w:t>Until July 2014, Mennonite College of Nursing also used space in the facility for faculty office</w:t>
      </w:r>
      <w:r w:rsidR="00233403">
        <w:rPr>
          <w:rFonts w:ascii="Times New Roman" w:hAnsi="Times New Roman"/>
        </w:rPr>
        <w:t>s</w:t>
      </w:r>
      <w:r w:rsidR="00EC1220">
        <w:rPr>
          <w:rFonts w:ascii="Times New Roman" w:hAnsi="Times New Roman"/>
        </w:rPr>
        <w:t xml:space="preserve"> while the first floor of Edwards Hall was being renovated.  The second floor space in Uptown Crossing has four conference rooms and smaller meeting room</w:t>
      </w:r>
      <w:r w:rsidR="00233403">
        <w:rPr>
          <w:rFonts w:ascii="Times New Roman" w:hAnsi="Times New Roman"/>
        </w:rPr>
        <w:t>s</w:t>
      </w:r>
      <w:r w:rsidR="00EC1220">
        <w:rPr>
          <w:rFonts w:ascii="Times New Roman" w:hAnsi="Times New Roman"/>
        </w:rPr>
        <w:t xml:space="preserve"> that are used by offices other than those located in the facility.  </w:t>
      </w:r>
      <w:r w:rsidR="00214D8B">
        <w:rPr>
          <w:rFonts w:ascii="Times New Roman" w:hAnsi="Times New Roman"/>
        </w:rPr>
        <w:t xml:space="preserve"> The Uptown Crossing facility has become an important resource for the University in housing administrative and academic support offices as well as in accommodating space needs that arise from renovation projects and grant sponsored activities.</w:t>
      </w:r>
      <w:r w:rsidR="00EC1220">
        <w:rPr>
          <w:rFonts w:ascii="Times New Roman" w:hAnsi="Times New Roman"/>
        </w:rPr>
        <w:t xml:space="preserve">  </w:t>
      </w:r>
    </w:p>
    <w:p w:rsidR="00142C4A" w:rsidRDefault="00142C4A" w:rsidP="00142C4A">
      <w:pPr>
        <w:spacing w:before="240"/>
        <w:rPr>
          <w:rFonts w:ascii="Times New Roman" w:eastAsia="Calibri" w:hAnsi="Times New Roman"/>
        </w:rPr>
      </w:pPr>
      <w:r w:rsidRPr="004C45D0">
        <w:rPr>
          <w:rFonts w:ascii="Times New Roman" w:eastAsia="Calibri" w:hAnsi="Times New Roman"/>
        </w:rPr>
        <w:t xml:space="preserve">The search for </w:t>
      </w:r>
      <w:r>
        <w:rPr>
          <w:rFonts w:ascii="Times New Roman" w:eastAsia="Calibri" w:hAnsi="Times New Roman"/>
        </w:rPr>
        <w:t xml:space="preserve">University permanent and temporary </w:t>
      </w:r>
      <w:r w:rsidRPr="004C45D0">
        <w:rPr>
          <w:rFonts w:ascii="Times New Roman" w:eastAsia="Calibri" w:hAnsi="Times New Roman"/>
        </w:rPr>
        <w:t xml:space="preserve">space in which to house </w:t>
      </w:r>
      <w:r>
        <w:rPr>
          <w:rFonts w:ascii="Times New Roman" w:eastAsia="Calibri" w:hAnsi="Times New Roman"/>
        </w:rPr>
        <w:t xml:space="preserve">programs is an ongoing process </w:t>
      </w:r>
      <w:r w:rsidR="00214D8B">
        <w:rPr>
          <w:rFonts w:ascii="Times New Roman" w:eastAsia="Calibri" w:hAnsi="Times New Roman"/>
        </w:rPr>
        <w:t xml:space="preserve">guided by the University’s strategic plan, </w:t>
      </w:r>
      <w:r w:rsidR="00214D8B" w:rsidRPr="002B4BAD">
        <w:rPr>
          <w:rFonts w:ascii="Times New Roman" w:eastAsia="Calibri" w:hAnsi="Times New Roman"/>
          <w:i/>
        </w:rPr>
        <w:t>Educating Illinois</w:t>
      </w:r>
      <w:r w:rsidR="0064296B">
        <w:rPr>
          <w:rFonts w:ascii="Times New Roman" w:eastAsia="Calibri" w:hAnsi="Times New Roman"/>
          <w:i/>
        </w:rPr>
        <w:t>,</w:t>
      </w:r>
      <w:r w:rsidR="00214D8B">
        <w:rPr>
          <w:rFonts w:ascii="Times New Roman" w:eastAsia="Calibri" w:hAnsi="Times New Roman"/>
        </w:rPr>
        <w:t xml:space="preserve"> and </w:t>
      </w:r>
      <w:r w:rsidR="00214D8B" w:rsidRPr="002B4BAD">
        <w:rPr>
          <w:rFonts w:ascii="Times New Roman" w:eastAsia="Calibri" w:hAnsi="Times New Roman"/>
          <w:i/>
        </w:rPr>
        <w:t>Master Plan</w:t>
      </w:r>
      <w:r>
        <w:rPr>
          <w:rFonts w:ascii="Times New Roman" w:eastAsia="Calibri" w:hAnsi="Times New Roman"/>
        </w:rPr>
        <w:t>. In addition</w:t>
      </w:r>
      <w:r w:rsidR="00C362DE">
        <w:rPr>
          <w:rFonts w:ascii="Times New Roman" w:eastAsia="Calibri" w:hAnsi="Times New Roman"/>
        </w:rPr>
        <w:t>,</w:t>
      </w:r>
      <w:r>
        <w:rPr>
          <w:rFonts w:ascii="Times New Roman" w:eastAsia="Calibri" w:hAnsi="Times New Roman"/>
        </w:rPr>
        <w:t xml:space="preserve"> the </w:t>
      </w:r>
      <w:r w:rsidR="00214D8B">
        <w:rPr>
          <w:rFonts w:ascii="Times New Roman" w:eastAsia="Calibri" w:hAnsi="Times New Roman"/>
        </w:rPr>
        <w:t xml:space="preserve">University </w:t>
      </w:r>
      <w:r>
        <w:rPr>
          <w:rFonts w:ascii="Times New Roman" w:eastAsia="Calibri" w:hAnsi="Times New Roman"/>
        </w:rPr>
        <w:t xml:space="preserve">looks at and evaluates potential </w:t>
      </w:r>
      <w:r w:rsidR="009C7764">
        <w:rPr>
          <w:rFonts w:ascii="Times New Roman" w:eastAsia="Calibri" w:hAnsi="Times New Roman"/>
        </w:rPr>
        <w:t xml:space="preserve">available </w:t>
      </w:r>
      <w:r>
        <w:rPr>
          <w:rFonts w:ascii="Times New Roman" w:eastAsia="Calibri" w:hAnsi="Times New Roman"/>
        </w:rPr>
        <w:t>lease space</w:t>
      </w:r>
      <w:r w:rsidRPr="004C45D0">
        <w:rPr>
          <w:rFonts w:ascii="Times New Roman" w:eastAsia="Calibri" w:hAnsi="Times New Roman"/>
        </w:rPr>
        <w:t xml:space="preserve"> </w:t>
      </w:r>
      <w:r>
        <w:rPr>
          <w:rFonts w:ascii="Times New Roman" w:eastAsia="Calibri" w:hAnsi="Times New Roman"/>
        </w:rPr>
        <w:t xml:space="preserve">to meet University </w:t>
      </w:r>
      <w:r w:rsidR="009C7764">
        <w:rPr>
          <w:rFonts w:ascii="Times New Roman" w:eastAsia="Calibri" w:hAnsi="Times New Roman"/>
        </w:rPr>
        <w:t xml:space="preserve">needs using </w:t>
      </w:r>
      <w:r>
        <w:rPr>
          <w:rFonts w:ascii="Times New Roman" w:eastAsia="Calibri" w:hAnsi="Times New Roman"/>
        </w:rPr>
        <w:t>criteria such as</w:t>
      </w:r>
      <w:r w:rsidRPr="004C45D0">
        <w:rPr>
          <w:rFonts w:ascii="Times New Roman" w:eastAsia="Calibri" w:hAnsi="Times New Roman"/>
        </w:rPr>
        <w:t>:</w:t>
      </w:r>
      <w:r>
        <w:rPr>
          <w:rFonts w:ascii="Times New Roman" w:eastAsia="Calibri" w:hAnsi="Times New Roman"/>
        </w:rPr>
        <w:t xml:space="preserve">   </w:t>
      </w:r>
    </w:p>
    <w:p w:rsidR="00142C4A" w:rsidRPr="004C45D0" w:rsidRDefault="00142C4A" w:rsidP="00142C4A">
      <w:pPr>
        <w:numPr>
          <w:ilvl w:val="0"/>
          <w:numId w:val="2"/>
        </w:numPr>
        <w:tabs>
          <w:tab w:val="clear" w:pos="1440"/>
          <w:tab w:val="num" w:pos="720"/>
        </w:tabs>
        <w:autoSpaceDE/>
        <w:autoSpaceDN/>
        <w:spacing w:before="120"/>
        <w:ind w:left="720"/>
        <w:rPr>
          <w:rFonts w:ascii="Times New Roman" w:eastAsia="Calibri" w:hAnsi="Times New Roman"/>
        </w:rPr>
      </w:pPr>
      <w:r w:rsidRPr="004C45D0">
        <w:rPr>
          <w:rFonts w:ascii="Times New Roman" w:eastAsia="Calibri" w:hAnsi="Times New Roman"/>
        </w:rPr>
        <w:t>Space appropriately configured for offices and meeting space or easily built-out in a desired layout.</w:t>
      </w:r>
    </w:p>
    <w:p w:rsidR="00142C4A" w:rsidRPr="004C45D0" w:rsidRDefault="00142C4A" w:rsidP="00142C4A">
      <w:pPr>
        <w:numPr>
          <w:ilvl w:val="0"/>
          <w:numId w:val="2"/>
        </w:numPr>
        <w:tabs>
          <w:tab w:val="clear" w:pos="1440"/>
          <w:tab w:val="num" w:pos="720"/>
        </w:tabs>
        <w:autoSpaceDE/>
        <w:autoSpaceDN/>
        <w:spacing w:before="120"/>
        <w:ind w:left="720"/>
        <w:rPr>
          <w:rFonts w:ascii="Times New Roman" w:eastAsia="Calibri" w:hAnsi="Times New Roman"/>
        </w:rPr>
      </w:pPr>
      <w:r w:rsidRPr="004C45D0">
        <w:rPr>
          <w:rFonts w:ascii="Times New Roman" w:eastAsia="Calibri" w:hAnsi="Times New Roman"/>
        </w:rPr>
        <w:t xml:space="preserve">Structure and major building systems </w:t>
      </w:r>
      <w:r>
        <w:rPr>
          <w:rFonts w:ascii="Times New Roman" w:eastAsia="Calibri" w:hAnsi="Times New Roman"/>
        </w:rPr>
        <w:t xml:space="preserve">are </w:t>
      </w:r>
      <w:r w:rsidRPr="004C45D0">
        <w:rPr>
          <w:rFonts w:ascii="Times New Roman" w:eastAsia="Calibri" w:hAnsi="Times New Roman"/>
        </w:rPr>
        <w:t>in good condition, (structural, roof, foundation, electrical), requiring no restoration or major rehabilitation.</w:t>
      </w:r>
    </w:p>
    <w:p w:rsidR="00142C4A" w:rsidRPr="004C45D0" w:rsidRDefault="00142C4A" w:rsidP="00142C4A">
      <w:pPr>
        <w:numPr>
          <w:ilvl w:val="0"/>
          <w:numId w:val="2"/>
        </w:numPr>
        <w:tabs>
          <w:tab w:val="clear" w:pos="1440"/>
          <w:tab w:val="num" w:pos="720"/>
        </w:tabs>
        <w:autoSpaceDE/>
        <w:autoSpaceDN/>
        <w:spacing w:before="120"/>
        <w:ind w:left="720"/>
        <w:rPr>
          <w:rFonts w:ascii="Times New Roman" w:eastAsia="Calibri" w:hAnsi="Times New Roman"/>
        </w:rPr>
      </w:pPr>
      <w:r w:rsidRPr="004C45D0">
        <w:rPr>
          <w:rFonts w:ascii="Times New Roman" w:eastAsia="Calibri" w:hAnsi="Times New Roman"/>
        </w:rPr>
        <w:t xml:space="preserve">Access to parking spaces to support </w:t>
      </w:r>
      <w:r>
        <w:rPr>
          <w:rFonts w:ascii="Times New Roman" w:eastAsia="Calibri" w:hAnsi="Times New Roman"/>
        </w:rPr>
        <w:t>functions</w:t>
      </w:r>
      <w:r w:rsidRPr="004C45D0">
        <w:rPr>
          <w:rFonts w:ascii="Times New Roman" w:eastAsia="Calibri" w:hAnsi="Times New Roman"/>
        </w:rPr>
        <w:t>.  Adequate number of spaces for use by assigned staff members with sufficient spaces available for visitors.</w:t>
      </w:r>
    </w:p>
    <w:p w:rsidR="00142C4A" w:rsidRPr="004C45D0" w:rsidRDefault="00142C4A" w:rsidP="00142C4A">
      <w:pPr>
        <w:numPr>
          <w:ilvl w:val="0"/>
          <w:numId w:val="2"/>
        </w:numPr>
        <w:tabs>
          <w:tab w:val="clear" w:pos="1440"/>
          <w:tab w:val="num" w:pos="720"/>
        </w:tabs>
        <w:autoSpaceDE/>
        <w:autoSpaceDN/>
        <w:spacing w:before="120"/>
        <w:ind w:left="720"/>
        <w:rPr>
          <w:rFonts w:ascii="Times New Roman" w:eastAsia="Calibri" w:hAnsi="Times New Roman"/>
        </w:rPr>
      </w:pPr>
      <w:r w:rsidRPr="004C45D0">
        <w:rPr>
          <w:rFonts w:ascii="Times New Roman" w:eastAsia="Calibri" w:hAnsi="Times New Roman"/>
        </w:rPr>
        <w:t>Location in proximity to the University’s main campus.</w:t>
      </w:r>
    </w:p>
    <w:p w:rsidR="00142C4A" w:rsidRDefault="00142C4A" w:rsidP="00142C4A">
      <w:pPr>
        <w:numPr>
          <w:ilvl w:val="0"/>
          <w:numId w:val="2"/>
        </w:numPr>
        <w:tabs>
          <w:tab w:val="clear" w:pos="1440"/>
          <w:tab w:val="num" w:pos="720"/>
        </w:tabs>
        <w:autoSpaceDE/>
        <w:autoSpaceDN/>
        <w:spacing w:before="120"/>
        <w:ind w:left="720"/>
        <w:rPr>
          <w:rFonts w:ascii="Times New Roman" w:eastAsia="Calibri" w:hAnsi="Times New Roman"/>
        </w:rPr>
      </w:pPr>
      <w:r w:rsidRPr="004C45D0">
        <w:rPr>
          <w:rFonts w:ascii="Times New Roman" w:eastAsia="Calibri" w:hAnsi="Times New Roman"/>
        </w:rPr>
        <w:t>Location within short driving distance and along major bus or campus shuttle routes to enable easy transition between the location and campus throughout the day.</w:t>
      </w:r>
    </w:p>
    <w:p w:rsidR="009C7764" w:rsidRPr="004C45D0" w:rsidRDefault="009C7764" w:rsidP="009C7764">
      <w:pPr>
        <w:autoSpaceDE/>
        <w:autoSpaceDN/>
        <w:spacing w:before="120"/>
        <w:rPr>
          <w:rFonts w:ascii="Times New Roman" w:eastAsia="Calibri" w:hAnsi="Times New Roman"/>
        </w:rPr>
      </w:pPr>
    </w:p>
    <w:p w:rsidR="00142C4A" w:rsidRDefault="00142C4A" w:rsidP="00142C4A">
      <w:pPr>
        <w:rPr>
          <w:rFonts w:ascii="Times New Roman" w:hAnsi="Times New Roman"/>
          <w:szCs w:val="20"/>
        </w:rPr>
      </w:pPr>
      <w:r>
        <w:rPr>
          <w:rFonts w:ascii="Times New Roman" w:hAnsi="Times New Roman"/>
          <w:szCs w:val="20"/>
        </w:rPr>
        <w:t xml:space="preserve">JRH, MRH LLC – 206 North Normal Series was established by JSM Development, a company that has completed projects in the Urbana-Champaign area, including projects involving over 150,000 square feet for the University of Illinois.  The company manages all phases of the development process, with a full-time architect and construction management team as well as a residential and commercial management company.  </w:t>
      </w:r>
      <w:r w:rsidR="00214D8B">
        <w:rPr>
          <w:rFonts w:ascii="Times New Roman" w:hAnsi="Times New Roman"/>
          <w:szCs w:val="20"/>
        </w:rPr>
        <w:t xml:space="preserve">The company has </w:t>
      </w:r>
      <w:r w:rsidR="00232030">
        <w:rPr>
          <w:rFonts w:ascii="Times New Roman" w:hAnsi="Times New Roman"/>
          <w:szCs w:val="20"/>
        </w:rPr>
        <w:t>maintained</w:t>
      </w:r>
      <w:r w:rsidR="00214D8B">
        <w:rPr>
          <w:rFonts w:ascii="Times New Roman" w:hAnsi="Times New Roman"/>
          <w:szCs w:val="20"/>
        </w:rPr>
        <w:t xml:space="preserve"> the Uptown Crossing building in Normal in extremely good condition and </w:t>
      </w:r>
      <w:r w:rsidR="00233403">
        <w:rPr>
          <w:rFonts w:ascii="Times New Roman" w:hAnsi="Times New Roman"/>
          <w:szCs w:val="20"/>
        </w:rPr>
        <w:t xml:space="preserve">has </w:t>
      </w:r>
      <w:r w:rsidR="00214D8B">
        <w:rPr>
          <w:rFonts w:ascii="Times New Roman" w:hAnsi="Times New Roman"/>
          <w:szCs w:val="20"/>
        </w:rPr>
        <w:t xml:space="preserve">quickly responded to </w:t>
      </w:r>
      <w:r w:rsidR="00343A2A">
        <w:rPr>
          <w:rFonts w:ascii="Times New Roman" w:hAnsi="Times New Roman"/>
          <w:szCs w:val="20"/>
        </w:rPr>
        <w:t xml:space="preserve">address </w:t>
      </w:r>
      <w:r w:rsidR="00214D8B">
        <w:rPr>
          <w:rFonts w:ascii="Times New Roman" w:hAnsi="Times New Roman"/>
          <w:szCs w:val="20"/>
        </w:rPr>
        <w:t xml:space="preserve">any issues that have arisen.   </w:t>
      </w:r>
    </w:p>
    <w:p w:rsidR="00142C4A" w:rsidRDefault="00142C4A" w:rsidP="00142C4A">
      <w:pPr>
        <w:rPr>
          <w:rFonts w:ascii="Times New Roman" w:hAnsi="Times New Roman"/>
          <w:szCs w:val="20"/>
        </w:rPr>
      </w:pPr>
    </w:p>
    <w:p w:rsidR="00213DB7" w:rsidRDefault="00142C4A" w:rsidP="00142C4A">
      <w:pPr>
        <w:rPr>
          <w:rFonts w:ascii="Times New Roman" w:hAnsi="Times New Roman"/>
          <w:color w:val="000000" w:themeColor="text1"/>
        </w:rPr>
      </w:pPr>
      <w:r>
        <w:rPr>
          <w:rFonts w:ascii="Times New Roman" w:hAnsi="Times New Roman"/>
        </w:rPr>
        <w:t xml:space="preserve">The renewal proposal offered by </w:t>
      </w:r>
      <w:r>
        <w:rPr>
          <w:rFonts w:ascii="Times New Roman" w:hAnsi="Times New Roman"/>
          <w:szCs w:val="20"/>
        </w:rPr>
        <w:t xml:space="preserve">JRH, MRH LLC – 206 North Normal Series </w:t>
      </w:r>
      <w:r w:rsidR="00B2105A">
        <w:rPr>
          <w:rFonts w:ascii="Times New Roman" w:hAnsi="Times New Roman"/>
          <w:szCs w:val="20"/>
        </w:rPr>
        <w:t>provides</w:t>
      </w:r>
      <w:r>
        <w:rPr>
          <w:rFonts w:ascii="Times New Roman" w:hAnsi="Times New Roman"/>
          <w:szCs w:val="20"/>
        </w:rPr>
        <w:t xml:space="preserve"> for a </w:t>
      </w:r>
      <w:r w:rsidRPr="00142C4A">
        <w:rPr>
          <w:rFonts w:ascii="Times New Roman" w:hAnsi="Times New Roman"/>
        </w:rPr>
        <w:t xml:space="preserve">lease term of five years beginning </w:t>
      </w:r>
      <w:r w:rsidR="009C7764">
        <w:rPr>
          <w:rFonts w:ascii="Times New Roman" w:hAnsi="Times New Roman"/>
        </w:rPr>
        <w:t>on June 1,</w:t>
      </w:r>
      <w:r w:rsidRPr="00142C4A">
        <w:rPr>
          <w:rFonts w:ascii="Times New Roman" w:hAnsi="Times New Roman"/>
        </w:rPr>
        <w:t xml:space="preserve"> 2015</w:t>
      </w:r>
      <w:r w:rsidR="009C7764">
        <w:rPr>
          <w:rFonts w:ascii="Times New Roman" w:hAnsi="Times New Roman"/>
        </w:rPr>
        <w:t xml:space="preserve"> with the following terms</w:t>
      </w:r>
      <w:r w:rsidRPr="00142C4A">
        <w:rPr>
          <w:rFonts w:ascii="Times New Roman" w:hAnsi="Times New Roman"/>
        </w:rPr>
        <w:t>; (</w:t>
      </w:r>
      <w:r w:rsidR="009C7764">
        <w:rPr>
          <w:rFonts w:ascii="Times New Roman" w:hAnsi="Times New Roman"/>
        </w:rPr>
        <w:t>a</w:t>
      </w:r>
      <w:r w:rsidRPr="00142C4A">
        <w:rPr>
          <w:rFonts w:ascii="Times New Roman" w:hAnsi="Times New Roman"/>
        </w:rPr>
        <w:t xml:space="preserve">) </w:t>
      </w:r>
      <w:r w:rsidRPr="00142C4A">
        <w:rPr>
          <w:rFonts w:ascii="Times New Roman" w:hAnsi="Times New Roman"/>
          <w:color w:val="000000" w:themeColor="text1"/>
        </w:rPr>
        <w:t>base rent during year one of the term shall be a fixed annual rental in an amount equal to the first five year term annual base rent ($15.96</w:t>
      </w:r>
      <w:r w:rsidR="00240D81">
        <w:rPr>
          <w:rFonts w:ascii="Times New Roman" w:hAnsi="Times New Roman"/>
          <w:color w:val="000000" w:themeColor="text1"/>
        </w:rPr>
        <w:t xml:space="preserve"> per square foot</w:t>
      </w:r>
      <w:r w:rsidRPr="00142C4A">
        <w:rPr>
          <w:rFonts w:ascii="Times New Roman" w:hAnsi="Times New Roman"/>
          <w:color w:val="000000" w:themeColor="text1"/>
        </w:rPr>
        <w:t xml:space="preserve">) adjusted by the annual percent change in the Consumer Price Index </w:t>
      </w:r>
      <w:r w:rsidR="001C51B9">
        <w:rPr>
          <w:rFonts w:ascii="Times New Roman" w:hAnsi="Times New Roman"/>
          <w:color w:val="000000" w:themeColor="text1"/>
        </w:rPr>
        <w:t xml:space="preserve">(CPI) </w:t>
      </w:r>
      <w:r w:rsidRPr="00142C4A">
        <w:rPr>
          <w:rFonts w:ascii="Times New Roman" w:hAnsi="Times New Roman"/>
          <w:color w:val="000000" w:themeColor="text1"/>
        </w:rPr>
        <w:t>for</w:t>
      </w:r>
    </w:p>
    <w:p w:rsidR="00213DB7" w:rsidRDefault="00213DB7" w:rsidP="00142C4A">
      <w:pPr>
        <w:rPr>
          <w:rFonts w:ascii="Times New Roman" w:hAnsi="Times New Roman"/>
          <w:color w:val="000000" w:themeColor="text1"/>
        </w:rPr>
      </w:pPr>
    </w:p>
    <w:p w:rsidR="00213DB7" w:rsidRDefault="00213DB7" w:rsidP="00142C4A">
      <w:pPr>
        <w:rPr>
          <w:rFonts w:ascii="Times New Roman" w:hAnsi="Times New Roman"/>
          <w:color w:val="000000" w:themeColor="text1"/>
        </w:rPr>
      </w:pPr>
    </w:p>
    <w:p w:rsidR="00213DB7" w:rsidRDefault="00142C4A" w:rsidP="00142C4A">
      <w:pPr>
        <w:rPr>
          <w:rFonts w:ascii="Times New Roman" w:hAnsi="Times New Roman"/>
          <w:color w:val="000000" w:themeColor="text1"/>
        </w:rPr>
      </w:pPr>
      <w:r w:rsidRPr="00142C4A">
        <w:rPr>
          <w:rFonts w:ascii="Times New Roman" w:hAnsi="Times New Roman"/>
          <w:color w:val="000000" w:themeColor="text1"/>
        </w:rPr>
        <w:lastRenderedPageBreak/>
        <w:t xml:space="preserve">March 2015 from the same index for March 2014 as published in the United States Department of Labor </w:t>
      </w:r>
    </w:p>
    <w:p w:rsidR="001C51B9" w:rsidRDefault="00142C4A" w:rsidP="00142C4A">
      <w:pPr>
        <w:rPr>
          <w:rFonts w:ascii="Times New Roman" w:hAnsi="Times New Roman"/>
          <w:color w:val="000000" w:themeColor="text1"/>
        </w:rPr>
      </w:pPr>
      <w:r w:rsidRPr="00142C4A">
        <w:rPr>
          <w:rFonts w:ascii="Times New Roman" w:hAnsi="Times New Roman"/>
          <w:color w:val="000000" w:themeColor="text1"/>
        </w:rPr>
        <w:t>Bureau of Labor Statistics; (</w:t>
      </w:r>
      <w:r w:rsidR="009C7764">
        <w:rPr>
          <w:rFonts w:ascii="Times New Roman" w:hAnsi="Times New Roman"/>
          <w:color w:val="000000" w:themeColor="text1"/>
        </w:rPr>
        <w:t>b</w:t>
      </w:r>
      <w:r w:rsidR="00213DB7">
        <w:rPr>
          <w:rFonts w:ascii="Times New Roman" w:hAnsi="Times New Roman"/>
          <w:color w:val="000000" w:themeColor="text1"/>
        </w:rPr>
        <w:t xml:space="preserve">) for each </w:t>
      </w:r>
      <w:r w:rsidRPr="00142C4A">
        <w:rPr>
          <w:rFonts w:ascii="Times New Roman" w:hAnsi="Times New Roman"/>
          <w:color w:val="000000" w:themeColor="text1"/>
        </w:rPr>
        <w:t xml:space="preserve">of the remaining four years base rent shall be a fixed annual rental in an amount equal to the past year annual base rent adjusted by the annual percent change in the </w:t>
      </w:r>
      <w:r w:rsidR="001C51B9">
        <w:rPr>
          <w:rFonts w:ascii="Times New Roman" w:hAnsi="Times New Roman"/>
          <w:color w:val="000000" w:themeColor="text1"/>
        </w:rPr>
        <w:t>CPI</w:t>
      </w:r>
      <w:r w:rsidRPr="00142C4A">
        <w:rPr>
          <w:rFonts w:ascii="Times New Roman" w:hAnsi="Times New Roman"/>
          <w:color w:val="000000" w:themeColor="text1"/>
        </w:rPr>
        <w:t xml:space="preserve"> for March of the current year from the same index for March of the previous year</w:t>
      </w:r>
      <w:r w:rsidR="00240D81">
        <w:rPr>
          <w:rFonts w:ascii="Times New Roman" w:hAnsi="Times New Roman"/>
          <w:color w:val="000000" w:themeColor="text1"/>
        </w:rPr>
        <w:t>;</w:t>
      </w:r>
      <w:r w:rsidRPr="00142C4A">
        <w:rPr>
          <w:rFonts w:ascii="Times New Roman" w:hAnsi="Times New Roman"/>
          <w:color w:val="000000" w:themeColor="text1"/>
        </w:rPr>
        <w:t xml:space="preserve"> (</w:t>
      </w:r>
      <w:r w:rsidR="00EB64E3">
        <w:rPr>
          <w:rFonts w:ascii="Times New Roman" w:hAnsi="Times New Roman"/>
          <w:color w:val="000000" w:themeColor="text1"/>
        </w:rPr>
        <w:t>c</w:t>
      </w:r>
      <w:r w:rsidRPr="00142C4A">
        <w:rPr>
          <w:rFonts w:ascii="Times New Roman" w:hAnsi="Times New Roman"/>
          <w:color w:val="000000" w:themeColor="text1"/>
        </w:rPr>
        <w:t>) total rental payments are not to ex</w:t>
      </w:r>
      <w:r w:rsidR="00EB64E3">
        <w:rPr>
          <w:rFonts w:ascii="Times New Roman" w:hAnsi="Times New Roman"/>
          <w:color w:val="000000" w:themeColor="text1"/>
        </w:rPr>
        <w:t>ceed $4,00</w:t>
      </w:r>
      <w:r w:rsidRPr="00142C4A">
        <w:rPr>
          <w:rFonts w:ascii="Times New Roman" w:hAnsi="Times New Roman"/>
          <w:color w:val="000000" w:themeColor="text1"/>
        </w:rPr>
        <w:t>0,000</w:t>
      </w:r>
      <w:r w:rsidR="001C51B9">
        <w:rPr>
          <w:rFonts w:ascii="Times New Roman" w:hAnsi="Times New Roman"/>
          <w:color w:val="000000" w:themeColor="text1"/>
        </w:rPr>
        <w:t xml:space="preserve">.  Annual </w:t>
      </w:r>
      <w:r w:rsidRPr="00142C4A">
        <w:rPr>
          <w:rFonts w:ascii="Times New Roman" w:hAnsi="Times New Roman"/>
          <w:color w:val="000000" w:themeColor="text1"/>
        </w:rPr>
        <w:t>rental payment</w:t>
      </w:r>
      <w:r w:rsidR="001C51B9">
        <w:rPr>
          <w:rFonts w:ascii="Times New Roman" w:hAnsi="Times New Roman"/>
          <w:color w:val="000000" w:themeColor="text1"/>
        </w:rPr>
        <w:t>s</w:t>
      </w:r>
      <w:r w:rsidRPr="00142C4A">
        <w:rPr>
          <w:rFonts w:ascii="Times New Roman" w:hAnsi="Times New Roman"/>
          <w:color w:val="000000" w:themeColor="text1"/>
        </w:rPr>
        <w:t xml:space="preserve"> (based on past CPI performance) are estimated to be as follows: </w:t>
      </w:r>
    </w:p>
    <w:p w:rsidR="001C51B9" w:rsidRDefault="001C51B9" w:rsidP="00142C4A">
      <w:pPr>
        <w:rPr>
          <w:rFonts w:ascii="Times New Roman" w:hAnsi="Times New Roman"/>
          <w:color w:val="000000" w:themeColor="text1"/>
        </w:rPr>
      </w:pPr>
    </w:p>
    <w:tbl>
      <w:tblPr>
        <w:tblStyle w:val="TableGrid"/>
        <w:tblW w:w="0" w:type="auto"/>
        <w:tblInd w:w="1940" w:type="dxa"/>
        <w:tblLook w:val="04A0" w:firstRow="1" w:lastRow="0" w:firstColumn="1" w:lastColumn="0" w:noHBand="0" w:noVBand="1"/>
      </w:tblPr>
      <w:tblGrid>
        <w:gridCol w:w="1398"/>
        <w:gridCol w:w="2160"/>
      </w:tblGrid>
      <w:tr w:rsidR="001C51B9" w:rsidTr="001C51B9">
        <w:trPr>
          <w:trHeight w:val="249"/>
        </w:trPr>
        <w:tc>
          <w:tcPr>
            <w:tcW w:w="1398" w:type="dxa"/>
          </w:tcPr>
          <w:p w:rsidR="001C51B9" w:rsidRDefault="001C51B9" w:rsidP="00142C4A">
            <w:pPr>
              <w:rPr>
                <w:rFonts w:ascii="Times New Roman" w:hAnsi="Times New Roman"/>
                <w:color w:val="000000" w:themeColor="text1"/>
              </w:rPr>
            </w:pPr>
            <w:r>
              <w:rPr>
                <w:rFonts w:ascii="Times New Roman" w:hAnsi="Times New Roman"/>
                <w:color w:val="000000" w:themeColor="text1"/>
              </w:rPr>
              <w:t>Year 1</w:t>
            </w:r>
          </w:p>
        </w:tc>
        <w:tc>
          <w:tcPr>
            <w:tcW w:w="2160" w:type="dxa"/>
          </w:tcPr>
          <w:p w:rsidR="001C51B9" w:rsidRDefault="001C51B9" w:rsidP="001C51B9">
            <w:pPr>
              <w:jc w:val="center"/>
              <w:rPr>
                <w:rFonts w:ascii="Times New Roman" w:hAnsi="Times New Roman"/>
                <w:color w:val="000000" w:themeColor="text1"/>
              </w:rPr>
            </w:pPr>
            <w:r w:rsidRPr="00142C4A">
              <w:rPr>
                <w:rFonts w:ascii="Times New Roman" w:hAnsi="Times New Roman"/>
                <w:color w:val="000000" w:themeColor="text1"/>
              </w:rPr>
              <w:t>$</w:t>
            </w:r>
            <w:r>
              <w:rPr>
                <w:rFonts w:ascii="Times New Roman" w:hAnsi="Times New Roman"/>
                <w:color w:val="000000" w:themeColor="text1"/>
              </w:rPr>
              <w:t xml:space="preserve"> </w:t>
            </w:r>
            <w:r w:rsidRPr="00142C4A">
              <w:rPr>
                <w:rFonts w:ascii="Times New Roman" w:hAnsi="Times New Roman"/>
                <w:color w:val="000000" w:themeColor="text1"/>
              </w:rPr>
              <w:t>661,975</w:t>
            </w:r>
          </w:p>
        </w:tc>
      </w:tr>
      <w:tr w:rsidR="001C51B9" w:rsidTr="001C51B9">
        <w:trPr>
          <w:trHeight w:val="249"/>
        </w:trPr>
        <w:tc>
          <w:tcPr>
            <w:tcW w:w="1398" w:type="dxa"/>
          </w:tcPr>
          <w:p w:rsidR="001C51B9" w:rsidRDefault="001C51B9" w:rsidP="00142C4A">
            <w:pPr>
              <w:rPr>
                <w:rFonts w:ascii="Times New Roman" w:hAnsi="Times New Roman"/>
                <w:color w:val="000000" w:themeColor="text1"/>
              </w:rPr>
            </w:pPr>
            <w:r>
              <w:rPr>
                <w:rFonts w:ascii="Times New Roman" w:hAnsi="Times New Roman"/>
                <w:color w:val="000000" w:themeColor="text1"/>
              </w:rPr>
              <w:t>Year 2</w:t>
            </w:r>
          </w:p>
        </w:tc>
        <w:tc>
          <w:tcPr>
            <w:tcW w:w="2160" w:type="dxa"/>
          </w:tcPr>
          <w:p w:rsidR="001C51B9" w:rsidRDefault="001C51B9" w:rsidP="001C51B9">
            <w:pPr>
              <w:jc w:val="center"/>
              <w:rPr>
                <w:rFonts w:ascii="Times New Roman" w:hAnsi="Times New Roman"/>
                <w:color w:val="000000" w:themeColor="text1"/>
              </w:rPr>
            </w:pPr>
            <w:r w:rsidRPr="00142C4A">
              <w:rPr>
                <w:rFonts w:ascii="Times New Roman" w:hAnsi="Times New Roman"/>
                <w:color w:val="000000" w:themeColor="text1"/>
              </w:rPr>
              <w:t>$</w:t>
            </w:r>
            <w:r>
              <w:rPr>
                <w:rFonts w:ascii="Times New Roman" w:hAnsi="Times New Roman"/>
                <w:color w:val="000000" w:themeColor="text1"/>
              </w:rPr>
              <w:t xml:space="preserve"> </w:t>
            </w:r>
            <w:r w:rsidRPr="00142C4A">
              <w:rPr>
                <w:rFonts w:ascii="Times New Roman" w:hAnsi="Times New Roman"/>
                <w:color w:val="000000" w:themeColor="text1"/>
              </w:rPr>
              <w:t>694,403</w:t>
            </w:r>
          </w:p>
        </w:tc>
      </w:tr>
      <w:tr w:rsidR="001C51B9" w:rsidTr="001C51B9">
        <w:trPr>
          <w:trHeight w:val="249"/>
        </w:trPr>
        <w:tc>
          <w:tcPr>
            <w:tcW w:w="1398" w:type="dxa"/>
          </w:tcPr>
          <w:p w:rsidR="001C51B9" w:rsidRDefault="001C51B9" w:rsidP="00142C4A">
            <w:pPr>
              <w:rPr>
                <w:rFonts w:ascii="Times New Roman" w:hAnsi="Times New Roman"/>
                <w:color w:val="000000" w:themeColor="text1"/>
              </w:rPr>
            </w:pPr>
            <w:r>
              <w:rPr>
                <w:rFonts w:ascii="Times New Roman" w:hAnsi="Times New Roman"/>
                <w:color w:val="000000" w:themeColor="text1"/>
              </w:rPr>
              <w:t>Year 3</w:t>
            </w:r>
          </w:p>
        </w:tc>
        <w:tc>
          <w:tcPr>
            <w:tcW w:w="2160" w:type="dxa"/>
          </w:tcPr>
          <w:p w:rsidR="001C51B9" w:rsidRDefault="001C51B9" w:rsidP="001C51B9">
            <w:pPr>
              <w:jc w:val="center"/>
              <w:rPr>
                <w:rFonts w:ascii="Times New Roman" w:hAnsi="Times New Roman"/>
                <w:color w:val="000000" w:themeColor="text1"/>
              </w:rPr>
            </w:pPr>
            <w:r w:rsidRPr="00142C4A">
              <w:rPr>
                <w:rFonts w:ascii="Times New Roman" w:hAnsi="Times New Roman"/>
                <w:color w:val="000000" w:themeColor="text1"/>
              </w:rPr>
              <w:t>$</w:t>
            </w:r>
            <w:r>
              <w:rPr>
                <w:rFonts w:ascii="Times New Roman" w:hAnsi="Times New Roman"/>
                <w:color w:val="000000" w:themeColor="text1"/>
              </w:rPr>
              <w:t xml:space="preserve"> </w:t>
            </w:r>
            <w:r w:rsidRPr="00142C4A">
              <w:rPr>
                <w:rFonts w:ascii="Times New Roman" w:hAnsi="Times New Roman"/>
                <w:color w:val="000000" w:themeColor="text1"/>
              </w:rPr>
              <w:t>728,415</w:t>
            </w:r>
          </w:p>
        </w:tc>
      </w:tr>
      <w:tr w:rsidR="001C51B9" w:rsidTr="001C51B9">
        <w:trPr>
          <w:trHeight w:val="249"/>
        </w:trPr>
        <w:tc>
          <w:tcPr>
            <w:tcW w:w="1398" w:type="dxa"/>
          </w:tcPr>
          <w:p w:rsidR="001C51B9" w:rsidRDefault="001C51B9" w:rsidP="00142C4A">
            <w:pPr>
              <w:rPr>
                <w:rFonts w:ascii="Times New Roman" w:hAnsi="Times New Roman"/>
                <w:color w:val="000000" w:themeColor="text1"/>
              </w:rPr>
            </w:pPr>
            <w:r>
              <w:rPr>
                <w:rFonts w:ascii="Times New Roman" w:hAnsi="Times New Roman"/>
                <w:color w:val="000000" w:themeColor="text1"/>
              </w:rPr>
              <w:t>Year 4</w:t>
            </w:r>
          </w:p>
        </w:tc>
        <w:tc>
          <w:tcPr>
            <w:tcW w:w="2160" w:type="dxa"/>
          </w:tcPr>
          <w:p w:rsidR="001C51B9" w:rsidRDefault="001C51B9" w:rsidP="001C51B9">
            <w:pPr>
              <w:jc w:val="center"/>
              <w:rPr>
                <w:rFonts w:ascii="Times New Roman" w:hAnsi="Times New Roman"/>
                <w:color w:val="000000" w:themeColor="text1"/>
              </w:rPr>
            </w:pPr>
            <w:r w:rsidRPr="00142C4A">
              <w:rPr>
                <w:rFonts w:ascii="Times New Roman" w:hAnsi="Times New Roman"/>
                <w:color w:val="000000" w:themeColor="text1"/>
              </w:rPr>
              <w:t>$</w:t>
            </w:r>
            <w:r>
              <w:rPr>
                <w:rFonts w:ascii="Times New Roman" w:hAnsi="Times New Roman"/>
                <w:color w:val="000000" w:themeColor="text1"/>
              </w:rPr>
              <w:t xml:space="preserve"> </w:t>
            </w:r>
            <w:r w:rsidRPr="00142C4A">
              <w:rPr>
                <w:rFonts w:ascii="Times New Roman" w:hAnsi="Times New Roman"/>
                <w:color w:val="000000" w:themeColor="text1"/>
              </w:rPr>
              <w:t>764,340</w:t>
            </w:r>
          </w:p>
        </w:tc>
      </w:tr>
      <w:tr w:rsidR="001C51B9" w:rsidTr="001C51B9">
        <w:trPr>
          <w:trHeight w:val="249"/>
        </w:trPr>
        <w:tc>
          <w:tcPr>
            <w:tcW w:w="1398" w:type="dxa"/>
          </w:tcPr>
          <w:p w:rsidR="001C51B9" w:rsidRDefault="001C51B9" w:rsidP="00142C4A">
            <w:pPr>
              <w:rPr>
                <w:rFonts w:ascii="Times New Roman" w:hAnsi="Times New Roman"/>
                <w:color w:val="000000" w:themeColor="text1"/>
              </w:rPr>
            </w:pPr>
            <w:r>
              <w:rPr>
                <w:rFonts w:ascii="Times New Roman" w:hAnsi="Times New Roman"/>
                <w:color w:val="000000" w:themeColor="text1"/>
              </w:rPr>
              <w:t>Year 5</w:t>
            </w:r>
          </w:p>
        </w:tc>
        <w:tc>
          <w:tcPr>
            <w:tcW w:w="2160" w:type="dxa"/>
          </w:tcPr>
          <w:p w:rsidR="001C51B9" w:rsidRDefault="001C51B9" w:rsidP="001C51B9">
            <w:pPr>
              <w:jc w:val="center"/>
              <w:rPr>
                <w:rFonts w:ascii="Times New Roman" w:hAnsi="Times New Roman"/>
                <w:color w:val="000000" w:themeColor="text1"/>
              </w:rPr>
            </w:pPr>
            <w:r w:rsidRPr="00142C4A">
              <w:rPr>
                <w:rFonts w:ascii="Times New Roman" w:hAnsi="Times New Roman"/>
                <w:color w:val="000000" w:themeColor="text1"/>
              </w:rPr>
              <w:t>$</w:t>
            </w:r>
            <w:r>
              <w:rPr>
                <w:rFonts w:ascii="Times New Roman" w:hAnsi="Times New Roman"/>
                <w:color w:val="000000" w:themeColor="text1"/>
              </w:rPr>
              <w:t xml:space="preserve"> </w:t>
            </w:r>
            <w:r w:rsidRPr="00142C4A">
              <w:rPr>
                <w:rFonts w:ascii="Times New Roman" w:hAnsi="Times New Roman"/>
                <w:color w:val="000000" w:themeColor="text1"/>
              </w:rPr>
              <w:t>801,568</w:t>
            </w:r>
          </w:p>
        </w:tc>
      </w:tr>
    </w:tbl>
    <w:p w:rsidR="001C51B9" w:rsidRDefault="001C51B9" w:rsidP="00142C4A">
      <w:pPr>
        <w:rPr>
          <w:rFonts w:ascii="Times New Roman" w:hAnsi="Times New Roman"/>
          <w:color w:val="000000" w:themeColor="text1"/>
        </w:rPr>
      </w:pPr>
    </w:p>
    <w:p w:rsidR="00142C4A" w:rsidRDefault="00142C4A" w:rsidP="00142C4A">
      <w:pPr>
        <w:rPr>
          <w:rFonts w:ascii="Times New Roman" w:hAnsi="Times New Roman"/>
          <w:szCs w:val="20"/>
        </w:rPr>
      </w:pPr>
    </w:p>
    <w:p w:rsidR="008F08B6" w:rsidRDefault="008F08B6" w:rsidP="00142C4A">
      <w:pPr>
        <w:rPr>
          <w:rFonts w:ascii="Times New Roman" w:hAnsi="Times New Roman"/>
          <w:szCs w:val="20"/>
        </w:rPr>
      </w:pPr>
      <w:r>
        <w:rPr>
          <w:rFonts w:ascii="Times New Roman" w:hAnsi="Times New Roman"/>
          <w:szCs w:val="20"/>
        </w:rPr>
        <w:t>In addition to the annual</w:t>
      </w:r>
      <w:r w:rsidR="00304778">
        <w:rPr>
          <w:rFonts w:ascii="Times New Roman" w:hAnsi="Times New Roman"/>
          <w:szCs w:val="20"/>
        </w:rPr>
        <w:t xml:space="preserve"> </w:t>
      </w:r>
      <w:r>
        <w:rPr>
          <w:rFonts w:ascii="Times New Roman" w:hAnsi="Times New Roman"/>
          <w:szCs w:val="20"/>
        </w:rPr>
        <w:t xml:space="preserve">rental payments, the University </w:t>
      </w:r>
      <w:r w:rsidR="00BB5E50">
        <w:rPr>
          <w:rFonts w:ascii="Times New Roman" w:hAnsi="Times New Roman"/>
          <w:szCs w:val="20"/>
        </w:rPr>
        <w:t>is assessed</w:t>
      </w:r>
      <w:r>
        <w:rPr>
          <w:rFonts w:ascii="Times New Roman" w:hAnsi="Times New Roman"/>
          <w:szCs w:val="20"/>
        </w:rPr>
        <w:t xml:space="preserve"> for common area and office maintenance</w:t>
      </w:r>
      <w:r w:rsidR="00240D81">
        <w:rPr>
          <w:rFonts w:ascii="Times New Roman" w:hAnsi="Times New Roman"/>
          <w:szCs w:val="20"/>
        </w:rPr>
        <w:t xml:space="preserve"> charges</w:t>
      </w:r>
      <w:r>
        <w:rPr>
          <w:rFonts w:ascii="Times New Roman" w:hAnsi="Times New Roman"/>
          <w:szCs w:val="20"/>
        </w:rPr>
        <w:t>.</w:t>
      </w:r>
    </w:p>
    <w:p w:rsidR="008F08B6" w:rsidRDefault="008F08B6" w:rsidP="00142C4A">
      <w:pPr>
        <w:rPr>
          <w:rFonts w:ascii="Times New Roman" w:hAnsi="Times New Roman"/>
          <w:szCs w:val="20"/>
        </w:rPr>
      </w:pPr>
    </w:p>
    <w:p w:rsidR="00142C4A" w:rsidRPr="00696323" w:rsidRDefault="00142C4A" w:rsidP="00142C4A">
      <w:pPr>
        <w:rPr>
          <w:rFonts w:ascii="Times New Roman" w:hAnsi="Times New Roman"/>
        </w:rPr>
      </w:pPr>
      <w:r>
        <w:rPr>
          <w:rFonts w:ascii="Times New Roman" w:hAnsi="Times New Roman"/>
          <w:szCs w:val="20"/>
        </w:rPr>
        <w:t xml:space="preserve">Securing office space through this proposed lease renewal addresses a current </w:t>
      </w:r>
      <w:r w:rsidR="00233403">
        <w:rPr>
          <w:rFonts w:ascii="Times New Roman" w:hAnsi="Times New Roman"/>
          <w:szCs w:val="20"/>
        </w:rPr>
        <w:t xml:space="preserve">space requirement </w:t>
      </w:r>
      <w:r>
        <w:rPr>
          <w:rFonts w:ascii="Times New Roman" w:hAnsi="Times New Roman"/>
          <w:szCs w:val="20"/>
        </w:rPr>
        <w:t xml:space="preserve">need </w:t>
      </w:r>
      <w:r w:rsidR="00233403">
        <w:rPr>
          <w:rFonts w:ascii="Times New Roman" w:hAnsi="Times New Roman"/>
          <w:szCs w:val="20"/>
        </w:rPr>
        <w:t xml:space="preserve">for </w:t>
      </w:r>
      <w:r>
        <w:rPr>
          <w:rFonts w:ascii="Times New Roman" w:hAnsi="Times New Roman"/>
          <w:szCs w:val="20"/>
        </w:rPr>
        <w:t xml:space="preserve">the University.  Furthermore, it provides an opportunity for the University to </w:t>
      </w:r>
      <w:r w:rsidR="009C7764">
        <w:rPr>
          <w:rFonts w:ascii="Times New Roman" w:hAnsi="Times New Roman"/>
          <w:szCs w:val="20"/>
        </w:rPr>
        <w:t xml:space="preserve">continue to </w:t>
      </w:r>
      <w:r>
        <w:rPr>
          <w:rFonts w:ascii="Times New Roman" w:hAnsi="Times New Roman"/>
          <w:szCs w:val="20"/>
        </w:rPr>
        <w:t>partner with a private developer in advancing the Town of Normal’s Redevelopment Plan.</w:t>
      </w:r>
    </w:p>
    <w:p w:rsidR="008B48D2" w:rsidRPr="00142C4A" w:rsidRDefault="008B48D2" w:rsidP="00C379CB">
      <w:pPr>
        <w:rPr>
          <w:rFonts w:ascii="Times New Roman" w:hAnsi="Times New Roman"/>
          <w:color w:val="000000" w:themeColor="text1"/>
        </w:rPr>
      </w:pPr>
    </w:p>
    <w:p w:rsidR="005F7393" w:rsidRDefault="005F7393" w:rsidP="00C379CB">
      <w:pPr>
        <w:pStyle w:val="Heading1"/>
        <w:rPr>
          <w:color w:val="000000" w:themeColor="text1"/>
        </w:rPr>
      </w:pPr>
    </w:p>
    <w:p w:rsidR="00213DB7" w:rsidRDefault="00204995" w:rsidP="00213DB7">
      <w:r>
        <w:t>Source of Funding:</w:t>
      </w:r>
      <w:r>
        <w:tab/>
        <w:t xml:space="preserve">General Revenue Operating </w:t>
      </w:r>
    </w:p>
    <w:p w:rsidR="00213DB7" w:rsidRDefault="00213DB7" w:rsidP="00213DB7"/>
    <w:p w:rsidR="00213DB7" w:rsidRDefault="00213DB7" w:rsidP="00213DB7"/>
    <w:p w:rsidR="00213DB7" w:rsidRDefault="00213DB7" w:rsidP="00213DB7"/>
    <w:p w:rsidR="00213DB7" w:rsidRDefault="00213DB7" w:rsidP="00213DB7"/>
    <w:p w:rsidR="00213DB7" w:rsidRDefault="00213DB7" w:rsidP="00213DB7"/>
    <w:p w:rsidR="00213DB7" w:rsidRDefault="00213DB7" w:rsidP="00213DB7"/>
    <w:p w:rsidR="00213DB7" w:rsidRDefault="00213DB7" w:rsidP="00213DB7"/>
    <w:p w:rsidR="00213DB7" w:rsidRDefault="00213DB7" w:rsidP="00213DB7"/>
    <w:p w:rsidR="00213DB7" w:rsidRDefault="00213DB7" w:rsidP="00213DB7"/>
    <w:p w:rsidR="00213DB7" w:rsidRDefault="00213DB7" w:rsidP="00213DB7"/>
    <w:p w:rsidR="00213DB7" w:rsidRDefault="00213DB7" w:rsidP="00213DB7"/>
    <w:p w:rsidR="00213DB7" w:rsidRDefault="00213DB7" w:rsidP="00213DB7"/>
    <w:p w:rsidR="00213DB7" w:rsidRDefault="00213DB7" w:rsidP="00213DB7"/>
    <w:p w:rsidR="00213DB7" w:rsidRDefault="00213DB7" w:rsidP="00213DB7"/>
    <w:p w:rsidR="00213DB7" w:rsidRDefault="00213DB7" w:rsidP="00213DB7"/>
    <w:p w:rsidR="00213DB7" w:rsidRDefault="00213DB7" w:rsidP="00213DB7"/>
    <w:p w:rsidR="00213DB7" w:rsidRDefault="00213DB7" w:rsidP="00213DB7"/>
    <w:p w:rsidR="00213DB7" w:rsidRDefault="00213DB7" w:rsidP="00213DB7"/>
    <w:p w:rsidR="00083822" w:rsidRDefault="00083822" w:rsidP="00213DB7">
      <w:pPr>
        <w:rPr>
          <w:rFonts w:ascii="Times New Roman" w:hAnsi="Times New Roman"/>
          <w:color w:val="000000" w:themeColor="text1"/>
          <w:u w:val="single"/>
        </w:rPr>
      </w:pPr>
    </w:p>
    <w:p w:rsidR="00304778" w:rsidRDefault="00304778" w:rsidP="00213DB7">
      <w:pPr>
        <w:rPr>
          <w:rFonts w:ascii="Times New Roman" w:hAnsi="Times New Roman"/>
          <w:color w:val="000000" w:themeColor="text1"/>
          <w:u w:val="single"/>
        </w:rPr>
      </w:pPr>
    </w:p>
    <w:p w:rsidR="00304778" w:rsidRDefault="00304778" w:rsidP="00213DB7">
      <w:pPr>
        <w:rPr>
          <w:rFonts w:ascii="Times New Roman" w:hAnsi="Times New Roman"/>
          <w:color w:val="000000" w:themeColor="text1"/>
          <w:u w:val="single"/>
        </w:rPr>
      </w:pPr>
    </w:p>
    <w:p w:rsidR="00304778" w:rsidRDefault="00304778" w:rsidP="00213DB7">
      <w:pPr>
        <w:rPr>
          <w:rFonts w:ascii="Times New Roman" w:hAnsi="Times New Roman"/>
          <w:color w:val="000000" w:themeColor="text1"/>
          <w:u w:val="single"/>
        </w:rPr>
      </w:pPr>
    </w:p>
    <w:p w:rsidR="00304778" w:rsidRDefault="00304778" w:rsidP="00213DB7">
      <w:pPr>
        <w:rPr>
          <w:rFonts w:ascii="Times New Roman" w:hAnsi="Times New Roman"/>
          <w:color w:val="000000" w:themeColor="text1"/>
          <w:u w:val="single"/>
        </w:rPr>
      </w:pPr>
    </w:p>
    <w:p w:rsidR="00304778" w:rsidRDefault="00304778" w:rsidP="00213DB7">
      <w:pPr>
        <w:rPr>
          <w:rFonts w:ascii="Times New Roman" w:hAnsi="Times New Roman"/>
          <w:color w:val="000000" w:themeColor="text1"/>
          <w:u w:val="single"/>
        </w:rPr>
      </w:pPr>
    </w:p>
    <w:p w:rsidR="00304778" w:rsidRDefault="00304778" w:rsidP="00213DB7">
      <w:pPr>
        <w:rPr>
          <w:rFonts w:ascii="Times New Roman" w:hAnsi="Times New Roman"/>
          <w:color w:val="000000" w:themeColor="text1"/>
          <w:u w:val="single"/>
        </w:rPr>
      </w:pPr>
    </w:p>
    <w:p w:rsidR="00304778" w:rsidRDefault="00304778" w:rsidP="00213DB7">
      <w:pPr>
        <w:rPr>
          <w:rFonts w:ascii="Times New Roman" w:hAnsi="Times New Roman"/>
          <w:color w:val="000000" w:themeColor="text1"/>
          <w:u w:val="single"/>
        </w:rPr>
      </w:pPr>
    </w:p>
    <w:p w:rsidR="00304778" w:rsidRDefault="00304778" w:rsidP="00213DB7">
      <w:pPr>
        <w:rPr>
          <w:rFonts w:ascii="Times New Roman" w:hAnsi="Times New Roman"/>
          <w:color w:val="000000" w:themeColor="text1"/>
          <w:u w:val="single"/>
        </w:rPr>
      </w:pPr>
    </w:p>
    <w:p w:rsidR="00304778" w:rsidRDefault="00304778" w:rsidP="00213DB7">
      <w:pPr>
        <w:rPr>
          <w:rFonts w:ascii="Times New Roman" w:hAnsi="Times New Roman"/>
          <w:color w:val="000000" w:themeColor="text1"/>
          <w:u w:val="single"/>
        </w:rPr>
      </w:pPr>
    </w:p>
    <w:p w:rsidR="00304778" w:rsidRDefault="00304778" w:rsidP="00213DB7">
      <w:pPr>
        <w:rPr>
          <w:rFonts w:ascii="Times New Roman" w:hAnsi="Times New Roman"/>
          <w:color w:val="000000" w:themeColor="text1"/>
          <w:u w:val="single"/>
        </w:rPr>
      </w:pPr>
    </w:p>
    <w:p w:rsidR="00304778" w:rsidRDefault="00304778" w:rsidP="00213DB7">
      <w:pPr>
        <w:rPr>
          <w:rFonts w:ascii="Times New Roman" w:hAnsi="Times New Roman"/>
          <w:color w:val="000000" w:themeColor="text1"/>
          <w:u w:val="single"/>
        </w:rPr>
      </w:pPr>
    </w:p>
    <w:p w:rsidR="00304778" w:rsidRDefault="00304778" w:rsidP="00213DB7">
      <w:pPr>
        <w:rPr>
          <w:rFonts w:ascii="Times New Roman" w:hAnsi="Times New Roman"/>
          <w:color w:val="000000" w:themeColor="text1"/>
          <w:u w:val="single"/>
        </w:rPr>
      </w:pPr>
    </w:p>
    <w:sectPr w:rsidR="00304778" w:rsidSect="00DB69A9">
      <w:footerReference w:type="default" r:id="rId8"/>
      <w:pgSz w:w="12240" w:h="15840"/>
      <w:pgMar w:top="1296" w:right="1800" w:bottom="129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81" w:rsidRDefault="00240D81">
      <w:r>
        <w:separator/>
      </w:r>
    </w:p>
  </w:endnote>
  <w:endnote w:type="continuationSeparator" w:id="0">
    <w:p w:rsidR="00240D81" w:rsidRDefault="0024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78" w:rsidRPr="00213DB7" w:rsidRDefault="00304778" w:rsidP="00304778">
    <w:pPr>
      <w:rPr>
        <w:rFonts w:ascii="Times New Roman" w:hAnsi="Times New Roman"/>
        <w:color w:val="000000" w:themeColor="text1"/>
        <w:u w:val="single"/>
      </w:rPr>
    </w:pPr>
    <w:r w:rsidRPr="00213DB7">
      <w:rPr>
        <w:rFonts w:ascii="Times New Roman" w:hAnsi="Times New Roman"/>
        <w:color w:val="000000" w:themeColor="text1"/>
        <w:u w:val="single"/>
      </w:rPr>
      <w:t xml:space="preserve">Board of Trustees Illinois State University – Renewal of Uptown Crossing Lease                           Page </w:t>
    </w:r>
    <w:r w:rsidRPr="00304778">
      <w:rPr>
        <w:rFonts w:ascii="Times New Roman" w:hAnsi="Times New Roman"/>
        <w:color w:val="000000" w:themeColor="text1"/>
        <w:u w:val="single"/>
      </w:rPr>
      <w:fldChar w:fldCharType="begin"/>
    </w:r>
    <w:r w:rsidRPr="00304778">
      <w:rPr>
        <w:rFonts w:ascii="Times New Roman" w:hAnsi="Times New Roman"/>
        <w:color w:val="000000" w:themeColor="text1"/>
        <w:u w:val="single"/>
      </w:rPr>
      <w:instrText xml:space="preserve"> PAGE   \* MERGEFORMAT </w:instrText>
    </w:r>
    <w:r w:rsidRPr="00304778">
      <w:rPr>
        <w:rFonts w:ascii="Times New Roman" w:hAnsi="Times New Roman"/>
        <w:color w:val="000000" w:themeColor="text1"/>
        <w:u w:val="single"/>
      </w:rPr>
      <w:fldChar w:fldCharType="separate"/>
    </w:r>
    <w:r w:rsidR="006F4AF8">
      <w:rPr>
        <w:rFonts w:ascii="Times New Roman" w:hAnsi="Times New Roman"/>
        <w:noProof/>
        <w:color w:val="000000" w:themeColor="text1"/>
        <w:u w:val="single"/>
      </w:rPr>
      <w:t>2</w:t>
    </w:r>
    <w:r w:rsidRPr="00304778">
      <w:rPr>
        <w:rFonts w:ascii="Times New Roman" w:hAnsi="Times New Roman"/>
        <w:noProof/>
        <w:color w:val="000000" w:themeColor="text1"/>
        <w:u w:val="single"/>
      </w:rPr>
      <w:fldChar w:fldCharType="end"/>
    </w:r>
  </w:p>
  <w:p w:rsidR="00304778" w:rsidRDefault="00304778" w:rsidP="00304778">
    <w:pPr>
      <w:rPr>
        <w:rFonts w:ascii="Times New Roman" w:hAnsi="Times New Roman"/>
        <w:color w:val="000000" w:themeColor="text1"/>
      </w:rPr>
    </w:pPr>
    <w:r>
      <w:rPr>
        <w:rFonts w:ascii="Times New Roman" w:hAnsi="Times New Roman"/>
        <w:color w:val="000000" w:themeColor="text1"/>
      </w:rPr>
      <w:t>05/08/2015</w:t>
    </w:r>
  </w:p>
  <w:p w:rsidR="00304778" w:rsidRDefault="00304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81" w:rsidRDefault="00240D81">
      <w:r>
        <w:separator/>
      </w:r>
    </w:p>
  </w:footnote>
  <w:footnote w:type="continuationSeparator" w:id="0">
    <w:p w:rsidR="00240D81" w:rsidRDefault="00240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4B62"/>
    <w:multiLevelType w:val="hybridMultilevel"/>
    <w:tmpl w:val="E6EE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16B5E"/>
    <w:multiLevelType w:val="hybridMultilevel"/>
    <w:tmpl w:val="E6EED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E249F"/>
    <w:multiLevelType w:val="hybridMultilevel"/>
    <w:tmpl w:val="738AFF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22"/>
    <w:rsid w:val="0000729F"/>
    <w:rsid w:val="00020E9C"/>
    <w:rsid w:val="00032CDC"/>
    <w:rsid w:val="00052DC9"/>
    <w:rsid w:val="00055A9A"/>
    <w:rsid w:val="000757E5"/>
    <w:rsid w:val="00083822"/>
    <w:rsid w:val="00087F6B"/>
    <w:rsid w:val="00092406"/>
    <w:rsid w:val="000A39EC"/>
    <w:rsid w:val="000A47E4"/>
    <w:rsid w:val="000A5AAC"/>
    <w:rsid w:val="000A70C7"/>
    <w:rsid w:val="000B26AD"/>
    <w:rsid w:val="000B46C1"/>
    <w:rsid w:val="000F30C7"/>
    <w:rsid w:val="00101A74"/>
    <w:rsid w:val="00106DB3"/>
    <w:rsid w:val="00120359"/>
    <w:rsid w:val="0012615D"/>
    <w:rsid w:val="001301BD"/>
    <w:rsid w:val="00134AC5"/>
    <w:rsid w:val="00142C4A"/>
    <w:rsid w:val="00143C22"/>
    <w:rsid w:val="001534BF"/>
    <w:rsid w:val="00154F56"/>
    <w:rsid w:val="00162971"/>
    <w:rsid w:val="00173E09"/>
    <w:rsid w:val="0017596F"/>
    <w:rsid w:val="001A2063"/>
    <w:rsid w:val="001B4C4C"/>
    <w:rsid w:val="001C3D86"/>
    <w:rsid w:val="001C51B9"/>
    <w:rsid w:val="001D307B"/>
    <w:rsid w:val="001D78B6"/>
    <w:rsid w:val="001E5E2A"/>
    <w:rsid w:val="001E653D"/>
    <w:rsid w:val="001E7FFA"/>
    <w:rsid w:val="0020016B"/>
    <w:rsid w:val="00204995"/>
    <w:rsid w:val="00213DB7"/>
    <w:rsid w:val="00214D8B"/>
    <w:rsid w:val="0022296C"/>
    <w:rsid w:val="00223308"/>
    <w:rsid w:val="002243C5"/>
    <w:rsid w:val="00227C71"/>
    <w:rsid w:val="00227CAD"/>
    <w:rsid w:val="00232030"/>
    <w:rsid w:val="00233403"/>
    <w:rsid w:val="00240D81"/>
    <w:rsid w:val="00247A81"/>
    <w:rsid w:val="002525CA"/>
    <w:rsid w:val="00253053"/>
    <w:rsid w:val="00254621"/>
    <w:rsid w:val="00255909"/>
    <w:rsid w:val="0027021C"/>
    <w:rsid w:val="00271D60"/>
    <w:rsid w:val="00276DDF"/>
    <w:rsid w:val="00283833"/>
    <w:rsid w:val="0028404C"/>
    <w:rsid w:val="0029682E"/>
    <w:rsid w:val="002A4866"/>
    <w:rsid w:val="002A74B8"/>
    <w:rsid w:val="002B3FF4"/>
    <w:rsid w:val="002B4BAD"/>
    <w:rsid w:val="002B61C7"/>
    <w:rsid w:val="002C0F2C"/>
    <w:rsid w:val="002C7855"/>
    <w:rsid w:val="002D6C4E"/>
    <w:rsid w:val="002F06C0"/>
    <w:rsid w:val="002F4EE3"/>
    <w:rsid w:val="00304778"/>
    <w:rsid w:val="00306C34"/>
    <w:rsid w:val="003144A8"/>
    <w:rsid w:val="00320F67"/>
    <w:rsid w:val="00321293"/>
    <w:rsid w:val="00331935"/>
    <w:rsid w:val="003365C0"/>
    <w:rsid w:val="00343A2A"/>
    <w:rsid w:val="00345DB9"/>
    <w:rsid w:val="003553C3"/>
    <w:rsid w:val="00371B58"/>
    <w:rsid w:val="0037345E"/>
    <w:rsid w:val="00383D6B"/>
    <w:rsid w:val="003903F5"/>
    <w:rsid w:val="0039498A"/>
    <w:rsid w:val="003954FE"/>
    <w:rsid w:val="003962BB"/>
    <w:rsid w:val="003A51EF"/>
    <w:rsid w:val="003B0B9E"/>
    <w:rsid w:val="003C76AE"/>
    <w:rsid w:val="003D1E6B"/>
    <w:rsid w:val="003F0CA3"/>
    <w:rsid w:val="003F62AC"/>
    <w:rsid w:val="0040197A"/>
    <w:rsid w:val="00407B9E"/>
    <w:rsid w:val="00413834"/>
    <w:rsid w:val="00417287"/>
    <w:rsid w:val="00424C2F"/>
    <w:rsid w:val="00424C5C"/>
    <w:rsid w:val="00427D47"/>
    <w:rsid w:val="00430B2A"/>
    <w:rsid w:val="00431036"/>
    <w:rsid w:val="00437ED0"/>
    <w:rsid w:val="0044407B"/>
    <w:rsid w:val="004472DF"/>
    <w:rsid w:val="00465D76"/>
    <w:rsid w:val="00466DB4"/>
    <w:rsid w:val="00474FF0"/>
    <w:rsid w:val="00491F09"/>
    <w:rsid w:val="004C2841"/>
    <w:rsid w:val="004D4694"/>
    <w:rsid w:val="004E2A71"/>
    <w:rsid w:val="004F31F5"/>
    <w:rsid w:val="00505E09"/>
    <w:rsid w:val="00516A13"/>
    <w:rsid w:val="00522981"/>
    <w:rsid w:val="00531E67"/>
    <w:rsid w:val="005321DB"/>
    <w:rsid w:val="00555D55"/>
    <w:rsid w:val="00566F28"/>
    <w:rsid w:val="00570634"/>
    <w:rsid w:val="00571A8C"/>
    <w:rsid w:val="0057308B"/>
    <w:rsid w:val="00580952"/>
    <w:rsid w:val="00583CCD"/>
    <w:rsid w:val="00590A6A"/>
    <w:rsid w:val="005A1F50"/>
    <w:rsid w:val="005B307A"/>
    <w:rsid w:val="005C1A72"/>
    <w:rsid w:val="005D2581"/>
    <w:rsid w:val="005D25C2"/>
    <w:rsid w:val="005D6012"/>
    <w:rsid w:val="005E3A35"/>
    <w:rsid w:val="005E50C6"/>
    <w:rsid w:val="005F6DD8"/>
    <w:rsid w:val="005F7393"/>
    <w:rsid w:val="006072A3"/>
    <w:rsid w:val="00631947"/>
    <w:rsid w:val="00633489"/>
    <w:rsid w:val="0064296B"/>
    <w:rsid w:val="006471CB"/>
    <w:rsid w:val="00665B8B"/>
    <w:rsid w:val="00676D6F"/>
    <w:rsid w:val="00692AAD"/>
    <w:rsid w:val="006939BE"/>
    <w:rsid w:val="006A29F5"/>
    <w:rsid w:val="006A523C"/>
    <w:rsid w:val="006C103D"/>
    <w:rsid w:val="006C5F24"/>
    <w:rsid w:val="006C69FD"/>
    <w:rsid w:val="006D031B"/>
    <w:rsid w:val="006D03CF"/>
    <w:rsid w:val="006F3C5D"/>
    <w:rsid w:val="006F4AF8"/>
    <w:rsid w:val="00701827"/>
    <w:rsid w:val="00701E1A"/>
    <w:rsid w:val="0070621B"/>
    <w:rsid w:val="00706F28"/>
    <w:rsid w:val="007220E7"/>
    <w:rsid w:val="007257C6"/>
    <w:rsid w:val="00733901"/>
    <w:rsid w:val="00736D6B"/>
    <w:rsid w:val="00741401"/>
    <w:rsid w:val="007521F9"/>
    <w:rsid w:val="007545C1"/>
    <w:rsid w:val="00754F44"/>
    <w:rsid w:val="00767560"/>
    <w:rsid w:val="007722FE"/>
    <w:rsid w:val="00774453"/>
    <w:rsid w:val="0078098F"/>
    <w:rsid w:val="00782F59"/>
    <w:rsid w:val="00786AF6"/>
    <w:rsid w:val="007902C7"/>
    <w:rsid w:val="00792D7B"/>
    <w:rsid w:val="007945BF"/>
    <w:rsid w:val="007A022E"/>
    <w:rsid w:val="007A7501"/>
    <w:rsid w:val="007B10ED"/>
    <w:rsid w:val="007E31AF"/>
    <w:rsid w:val="007E79E6"/>
    <w:rsid w:val="0080409C"/>
    <w:rsid w:val="008436E2"/>
    <w:rsid w:val="00851350"/>
    <w:rsid w:val="0086486B"/>
    <w:rsid w:val="00877B47"/>
    <w:rsid w:val="00877C54"/>
    <w:rsid w:val="00880A08"/>
    <w:rsid w:val="00882B0B"/>
    <w:rsid w:val="008916B1"/>
    <w:rsid w:val="00892975"/>
    <w:rsid w:val="00896A04"/>
    <w:rsid w:val="008A7212"/>
    <w:rsid w:val="008B48D2"/>
    <w:rsid w:val="008B6545"/>
    <w:rsid w:val="008C3C8E"/>
    <w:rsid w:val="008C78C4"/>
    <w:rsid w:val="008C7931"/>
    <w:rsid w:val="008D07A5"/>
    <w:rsid w:val="008E4C5B"/>
    <w:rsid w:val="008F08B6"/>
    <w:rsid w:val="00901E85"/>
    <w:rsid w:val="00902078"/>
    <w:rsid w:val="0090513F"/>
    <w:rsid w:val="00910254"/>
    <w:rsid w:val="00930F4A"/>
    <w:rsid w:val="00950CDF"/>
    <w:rsid w:val="00981A35"/>
    <w:rsid w:val="009913F1"/>
    <w:rsid w:val="009A308C"/>
    <w:rsid w:val="009A37C5"/>
    <w:rsid w:val="009B6403"/>
    <w:rsid w:val="009B6908"/>
    <w:rsid w:val="009B7610"/>
    <w:rsid w:val="009C6982"/>
    <w:rsid w:val="009C7764"/>
    <w:rsid w:val="009D30B0"/>
    <w:rsid w:val="009D6627"/>
    <w:rsid w:val="009E3C8F"/>
    <w:rsid w:val="009E75DC"/>
    <w:rsid w:val="009F04B0"/>
    <w:rsid w:val="009F6F49"/>
    <w:rsid w:val="00A06D0F"/>
    <w:rsid w:val="00A1122B"/>
    <w:rsid w:val="00A1536C"/>
    <w:rsid w:val="00A25529"/>
    <w:rsid w:val="00A279CC"/>
    <w:rsid w:val="00A40429"/>
    <w:rsid w:val="00A53201"/>
    <w:rsid w:val="00A60164"/>
    <w:rsid w:val="00A73F6D"/>
    <w:rsid w:val="00A7522D"/>
    <w:rsid w:val="00A9116F"/>
    <w:rsid w:val="00A964D9"/>
    <w:rsid w:val="00AA65E4"/>
    <w:rsid w:val="00AB3136"/>
    <w:rsid w:val="00AC5A84"/>
    <w:rsid w:val="00AD3312"/>
    <w:rsid w:val="00AD4B52"/>
    <w:rsid w:val="00AE765A"/>
    <w:rsid w:val="00AE7F82"/>
    <w:rsid w:val="00AF0238"/>
    <w:rsid w:val="00AF0C24"/>
    <w:rsid w:val="00B15050"/>
    <w:rsid w:val="00B203DB"/>
    <w:rsid w:val="00B20E7D"/>
    <w:rsid w:val="00B2105A"/>
    <w:rsid w:val="00B34026"/>
    <w:rsid w:val="00B545BD"/>
    <w:rsid w:val="00B71B91"/>
    <w:rsid w:val="00B813FF"/>
    <w:rsid w:val="00BA15DB"/>
    <w:rsid w:val="00BB38A5"/>
    <w:rsid w:val="00BB5E50"/>
    <w:rsid w:val="00BC032F"/>
    <w:rsid w:val="00BC1BC5"/>
    <w:rsid w:val="00BC3AB8"/>
    <w:rsid w:val="00BC59B8"/>
    <w:rsid w:val="00BD236D"/>
    <w:rsid w:val="00BD74AE"/>
    <w:rsid w:val="00BE2EAF"/>
    <w:rsid w:val="00BE3DE5"/>
    <w:rsid w:val="00BF1D0F"/>
    <w:rsid w:val="00C05E2F"/>
    <w:rsid w:val="00C2234B"/>
    <w:rsid w:val="00C33D32"/>
    <w:rsid w:val="00C362DE"/>
    <w:rsid w:val="00C379CB"/>
    <w:rsid w:val="00C432B9"/>
    <w:rsid w:val="00C504D4"/>
    <w:rsid w:val="00C63257"/>
    <w:rsid w:val="00C63406"/>
    <w:rsid w:val="00C74120"/>
    <w:rsid w:val="00C74FDA"/>
    <w:rsid w:val="00C84BA4"/>
    <w:rsid w:val="00C856B3"/>
    <w:rsid w:val="00C906CC"/>
    <w:rsid w:val="00C96249"/>
    <w:rsid w:val="00C96564"/>
    <w:rsid w:val="00CB3EC6"/>
    <w:rsid w:val="00CB4A53"/>
    <w:rsid w:val="00CC1A83"/>
    <w:rsid w:val="00CE130C"/>
    <w:rsid w:val="00CE62DC"/>
    <w:rsid w:val="00CF0A2D"/>
    <w:rsid w:val="00CF1627"/>
    <w:rsid w:val="00CF3294"/>
    <w:rsid w:val="00CF6F07"/>
    <w:rsid w:val="00D0221A"/>
    <w:rsid w:val="00D22FA6"/>
    <w:rsid w:val="00D23410"/>
    <w:rsid w:val="00D269E7"/>
    <w:rsid w:val="00D451C4"/>
    <w:rsid w:val="00D46E55"/>
    <w:rsid w:val="00D50029"/>
    <w:rsid w:val="00D52EB6"/>
    <w:rsid w:val="00D56FCA"/>
    <w:rsid w:val="00D57692"/>
    <w:rsid w:val="00D778DD"/>
    <w:rsid w:val="00D80FF0"/>
    <w:rsid w:val="00D87418"/>
    <w:rsid w:val="00D87E73"/>
    <w:rsid w:val="00DA0CE9"/>
    <w:rsid w:val="00DA6008"/>
    <w:rsid w:val="00DB3223"/>
    <w:rsid w:val="00DB3671"/>
    <w:rsid w:val="00DB69A9"/>
    <w:rsid w:val="00DB6D1B"/>
    <w:rsid w:val="00DC06A4"/>
    <w:rsid w:val="00DD3BB3"/>
    <w:rsid w:val="00DD7D63"/>
    <w:rsid w:val="00DF0E95"/>
    <w:rsid w:val="00DF23CD"/>
    <w:rsid w:val="00E04ADB"/>
    <w:rsid w:val="00E0746C"/>
    <w:rsid w:val="00E079E7"/>
    <w:rsid w:val="00E22C6C"/>
    <w:rsid w:val="00E26B6D"/>
    <w:rsid w:val="00E311AA"/>
    <w:rsid w:val="00E44241"/>
    <w:rsid w:val="00E460C2"/>
    <w:rsid w:val="00E46435"/>
    <w:rsid w:val="00E53B6C"/>
    <w:rsid w:val="00E5446C"/>
    <w:rsid w:val="00E83D50"/>
    <w:rsid w:val="00EA757B"/>
    <w:rsid w:val="00EB64E3"/>
    <w:rsid w:val="00EC1220"/>
    <w:rsid w:val="00EC234D"/>
    <w:rsid w:val="00ED24D7"/>
    <w:rsid w:val="00EF27BC"/>
    <w:rsid w:val="00F01E56"/>
    <w:rsid w:val="00F022C9"/>
    <w:rsid w:val="00F167A4"/>
    <w:rsid w:val="00F33172"/>
    <w:rsid w:val="00F523E0"/>
    <w:rsid w:val="00F6252B"/>
    <w:rsid w:val="00F75EB9"/>
    <w:rsid w:val="00F82146"/>
    <w:rsid w:val="00F87BB6"/>
    <w:rsid w:val="00F97AB6"/>
    <w:rsid w:val="00FA1721"/>
    <w:rsid w:val="00FB7DBD"/>
    <w:rsid w:val="00FC054D"/>
    <w:rsid w:val="00FE02A3"/>
    <w:rsid w:val="00FE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2015-04-16T20:06:00Z</dcterms:created>
  <dcterms:modified xsi:type="dcterms:W3CDTF">2015-04-16T20:06:00Z</dcterms:modified>
</cp:coreProperties>
</file>