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771F46" w:rsidRDefault="00771F46" w:rsidP="00771F46">
      <w:pPr>
        <w:tabs>
          <w:tab w:val="center" w:pos="8550"/>
        </w:tabs>
        <w:ind w:right="-990"/>
        <w:rPr>
          <w:rFonts w:ascii="Times New Roman" w:hAnsi="Times New Roman"/>
          <w:b/>
          <w:sz w:val="20"/>
          <w:u w:val="single"/>
        </w:rPr>
      </w:pPr>
    </w:p>
    <w:p w:rsidR="00FE5A18" w:rsidRPr="00FE5A18" w:rsidRDefault="00FE5A18" w:rsidP="00FE5A18">
      <w:pPr>
        <w:tabs>
          <w:tab w:val="center" w:pos="8190"/>
        </w:tabs>
        <w:ind w:right="-630"/>
        <w:jc w:val="both"/>
        <w:rPr>
          <w:rFonts w:ascii="Times New Roman" w:hAnsi="Times New Roman"/>
          <w:b/>
          <w:sz w:val="20"/>
        </w:rPr>
      </w:pPr>
      <w:r w:rsidRPr="00FE5A18">
        <w:rPr>
          <w:rFonts w:ascii="Times New Roman" w:hAnsi="Times New Roman"/>
          <w:b/>
          <w:sz w:val="20"/>
        </w:rPr>
        <w:t xml:space="preserve">   </w:t>
      </w:r>
      <w:r>
        <w:rPr>
          <w:rFonts w:ascii="Times New Roman" w:hAnsi="Times New Roman"/>
          <w:b/>
          <w:sz w:val="20"/>
        </w:rPr>
        <w:t xml:space="preserve">                                                                                                                                             </w:t>
      </w:r>
      <w:r w:rsidRPr="00FE5A18">
        <w:rPr>
          <w:rFonts w:ascii="Times New Roman" w:hAnsi="Times New Roman"/>
          <w:b/>
          <w:sz w:val="20"/>
          <w:u w:val="single"/>
        </w:rPr>
        <w:t>Resolution No. 2015.10/26</w:t>
      </w:r>
    </w:p>
    <w:p w:rsidR="00FE5A18" w:rsidRPr="00FE5A18" w:rsidRDefault="00FE5A18" w:rsidP="00FE5A18">
      <w:pPr>
        <w:tabs>
          <w:tab w:val="center" w:pos="8280"/>
        </w:tabs>
        <w:ind w:right="-630"/>
        <w:rPr>
          <w:rFonts w:ascii="Times New Roman" w:hAnsi="Times New Roman"/>
          <w:b/>
          <w:sz w:val="20"/>
          <w:u w:val="single"/>
        </w:rPr>
      </w:pPr>
      <w:r w:rsidRPr="00FE5A18">
        <w:rPr>
          <w:rFonts w:ascii="Times New Roman" w:hAnsi="Times New Roman"/>
          <w:b/>
          <w:sz w:val="20"/>
        </w:rPr>
        <w:tab/>
      </w:r>
      <w:r>
        <w:rPr>
          <w:rFonts w:ascii="Times New Roman" w:hAnsi="Times New Roman"/>
          <w:b/>
          <w:sz w:val="20"/>
        </w:rPr>
        <w:t xml:space="preserve"> </w:t>
      </w:r>
      <w:r w:rsidRPr="00FE5A18">
        <w:rPr>
          <w:rFonts w:ascii="Times New Roman" w:hAnsi="Times New Roman"/>
          <w:b/>
          <w:sz w:val="20"/>
          <w:u w:val="single"/>
        </w:rPr>
        <w:t xml:space="preserve">FY2016 Operating Budget </w:t>
      </w:r>
    </w:p>
    <w:p w:rsidR="00FE5A18" w:rsidRPr="00FE5A18" w:rsidRDefault="00FE5A18" w:rsidP="00FE5A18">
      <w:pPr>
        <w:tabs>
          <w:tab w:val="center" w:pos="8100"/>
        </w:tabs>
        <w:ind w:right="-630"/>
        <w:rPr>
          <w:rFonts w:ascii="Times New Roman" w:hAnsi="Times New Roman"/>
          <w:b/>
          <w:sz w:val="20"/>
          <w:u w:val="single"/>
        </w:rPr>
      </w:pPr>
      <w:r w:rsidRPr="00FE5A18">
        <w:rPr>
          <w:rFonts w:ascii="Times New Roman" w:hAnsi="Times New Roman"/>
          <w:b/>
          <w:sz w:val="20"/>
        </w:rPr>
        <w:tab/>
      </w:r>
    </w:p>
    <w:p w:rsidR="00FE5A18" w:rsidRPr="00FE5A18" w:rsidRDefault="00FE5A18" w:rsidP="00FE5A18">
      <w:pPr>
        <w:tabs>
          <w:tab w:val="center" w:pos="8550"/>
        </w:tabs>
        <w:ind w:right="450"/>
        <w:jc w:val="both"/>
        <w:rPr>
          <w:rFonts w:ascii="Times New Roman" w:hAnsi="Times New Roman"/>
          <w:b/>
          <w:sz w:val="20"/>
          <w:u w:val="single"/>
        </w:rPr>
      </w:pPr>
      <w:r w:rsidRPr="00FE5A18">
        <w:rPr>
          <w:rFonts w:ascii="Times New Roman" w:hAnsi="Times New Roman"/>
          <w:b/>
          <w:sz w:val="20"/>
          <w:u w:val="single"/>
        </w:rPr>
        <w:t>Resolution</w:t>
      </w:r>
    </w:p>
    <w:p w:rsidR="00FE5A18" w:rsidRPr="00FE5A18" w:rsidRDefault="00FE5A18" w:rsidP="00FE5A18">
      <w:pPr>
        <w:rPr>
          <w:rFonts w:ascii="Times New Roman" w:hAnsi="Times New Roman"/>
          <w:sz w:val="20"/>
        </w:rPr>
      </w:pPr>
      <w:r w:rsidRPr="00FE5A18">
        <w:rPr>
          <w:rFonts w:ascii="Times New Roman" w:hAnsi="Times New Roman"/>
          <w:sz w:val="20"/>
        </w:rPr>
        <w:t>Whereas, the Board of Trustees of Illinois State University (</w:t>
      </w:r>
      <w:r w:rsidRPr="00FE5A18">
        <w:rPr>
          <w:rFonts w:ascii="Times New Roman" w:hAnsi="Times New Roman"/>
          <w:i/>
          <w:sz w:val="20"/>
        </w:rPr>
        <w:t xml:space="preserve">the “Board”) </w:t>
      </w:r>
      <w:r w:rsidRPr="00FE5A18">
        <w:rPr>
          <w:rFonts w:ascii="Times New Roman" w:hAnsi="Times New Roman"/>
          <w:sz w:val="20"/>
        </w:rPr>
        <w:t>has the authority to approve Illinois State University’s (</w:t>
      </w:r>
      <w:r w:rsidRPr="00FE5A18">
        <w:rPr>
          <w:rFonts w:ascii="Times New Roman" w:hAnsi="Times New Roman"/>
          <w:i/>
          <w:sz w:val="20"/>
        </w:rPr>
        <w:t xml:space="preserve">the “University”) </w:t>
      </w:r>
      <w:r w:rsidRPr="00FE5A18">
        <w:rPr>
          <w:rFonts w:ascii="Times New Roman" w:hAnsi="Times New Roman"/>
          <w:sz w:val="20"/>
        </w:rPr>
        <w:t>annual operating budget, and</w:t>
      </w:r>
    </w:p>
    <w:p w:rsidR="00FE5A18" w:rsidRPr="00FE5A18" w:rsidRDefault="00FE5A18" w:rsidP="00FE5A18">
      <w:pPr>
        <w:spacing w:before="240"/>
        <w:rPr>
          <w:rFonts w:ascii="Times New Roman" w:hAnsi="Times New Roman"/>
          <w:sz w:val="20"/>
        </w:rPr>
      </w:pPr>
      <w:r w:rsidRPr="00FE5A18">
        <w:rPr>
          <w:rFonts w:ascii="Times New Roman" w:hAnsi="Times New Roman"/>
          <w:sz w:val="20"/>
        </w:rPr>
        <w:t>Whereas, the Illinois Board of Higher Education policies stipulate that the Board of Trustees shall approve an official budget for fiscal year 2016 (</w:t>
      </w:r>
      <w:r w:rsidRPr="00FE5A18">
        <w:rPr>
          <w:rFonts w:ascii="Times New Roman" w:hAnsi="Times New Roman"/>
          <w:i/>
          <w:sz w:val="20"/>
        </w:rPr>
        <w:t xml:space="preserve">“FY2016”) </w:t>
      </w:r>
      <w:r w:rsidRPr="00FE5A18">
        <w:rPr>
          <w:rFonts w:ascii="Times New Roman" w:hAnsi="Times New Roman"/>
          <w:sz w:val="20"/>
        </w:rPr>
        <w:t>by source of funds, object and function, and</w:t>
      </w:r>
    </w:p>
    <w:p w:rsidR="00FE5A18" w:rsidRPr="00FE5A18" w:rsidRDefault="00FE5A18" w:rsidP="00FE5A18">
      <w:pPr>
        <w:spacing w:before="240"/>
        <w:rPr>
          <w:rFonts w:ascii="Times New Roman" w:hAnsi="Times New Roman"/>
          <w:sz w:val="20"/>
        </w:rPr>
      </w:pPr>
      <w:r w:rsidRPr="00FE5A18">
        <w:rPr>
          <w:rFonts w:ascii="Times New Roman" w:hAnsi="Times New Roman"/>
          <w:sz w:val="20"/>
        </w:rPr>
        <w:t xml:space="preserve">Whereas, the Board took action at its May 8, 2015 meeting authorizing expenditures from tentative budget allocations until State appropriations for FY2016 are known, and </w:t>
      </w:r>
    </w:p>
    <w:p w:rsidR="00FE5A18" w:rsidRPr="00FE5A18" w:rsidRDefault="00FE5A18" w:rsidP="00FE5A18">
      <w:pPr>
        <w:spacing w:before="240"/>
        <w:rPr>
          <w:rFonts w:ascii="Times New Roman" w:hAnsi="Times New Roman"/>
          <w:sz w:val="20"/>
        </w:rPr>
      </w:pPr>
      <w:r w:rsidRPr="00FE5A18">
        <w:rPr>
          <w:rFonts w:ascii="Times New Roman" w:hAnsi="Times New Roman"/>
          <w:sz w:val="20"/>
        </w:rPr>
        <w:t>Whereas, the State of Illinois has not acted on an appropriations bill to fund higher education, including Illinois State University, for FY2016, and</w:t>
      </w:r>
    </w:p>
    <w:p w:rsidR="00FE5A18" w:rsidRPr="00FE5A18" w:rsidRDefault="00FE5A18" w:rsidP="00FE5A18">
      <w:pPr>
        <w:spacing w:before="240"/>
        <w:rPr>
          <w:rFonts w:ascii="Times New Roman" w:hAnsi="Times New Roman"/>
          <w:sz w:val="20"/>
        </w:rPr>
      </w:pPr>
      <w:r w:rsidRPr="00FE5A18">
        <w:rPr>
          <w:rFonts w:ascii="Times New Roman" w:hAnsi="Times New Roman"/>
          <w:sz w:val="20"/>
        </w:rPr>
        <w:t>Whereas, the University has developed contingency plans to manage reductions of its FY2016 appropriation ranging from $7.4 million (10%) to $22.9million (31%) compared to the prior year original appropriation:</w:t>
      </w:r>
    </w:p>
    <w:p w:rsidR="00FE5A18" w:rsidRPr="00FE5A18" w:rsidRDefault="00FE5A18" w:rsidP="00FE5A18">
      <w:pPr>
        <w:spacing w:before="240"/>
        <w:rPr>
          <w:rFonts w:ascii="Times New Roman" w:hAnsi="Times New Roman"/>
          <w:sz w:val="20"/>
        </w:rPr>
      </w:pPr>
      <w:r w:rsidRPr="00FE5A18">
        <w:rPr>
          <w:rFonts w:ascii="Times New Roman" w:hAnsi="Times New Roman"/>
          <w:sz w:val="20"/>
        </w:rPr>
        <w:t>Therefore, be it resolved that the Board of Trustees approves the FY2016 Budget for Operations in an amount not to exceed the lesser of:</w:t>
      </w:r>
    </w:p>
    <w:p w:rsidR="00FE5A18" w:rsidRPr="00FE5A18" w:rsidRDefault="00FE5A18" w:rsidP="00FE5A18">
      <w:pPr>
        <w:pStyle w:val="ListParagraph"/>
        <w:numPr>
          <w:ilvl w:val="0"/>
          <w:numId w:val="2"/>
        </w:numPr>
        <w:spacing w:before="240"/>
      </w:pPr>
      <w:r w:rsidRPr="00FE5A18">
        <w:t>A total of $422,246,900, which is reflective of a $7.4 million (10%) reduction in FY2016 State appropriations compared to the prior year original appropriation and is outlined herein, or</w:t>
      </w:r>
    </w:p>
    <w:p w:rsidR="00FE5A18" w:rsidRPr="00FE5A18" w:rsidRDefault="00FE5A18" w:rsidP="00FE5A18">
      <w:pPr>
        <w:pStyle w:val="ListParagraph"/>
        <w:numPr>
          <w:ilvl w:val="0"/>
          <w:numId w:val="2"/>
        </w:numPr>
        <w:spacing w:before="240"/>
      </w:pPr>
      <w:r w:rsidRPr="00FE5A18">
        <w:t>A total amount that is correspondingly reduced from $422,246,900 by the difference of any amount of reduction in FY2016 State appropriations greater than $7.4 million compared to the prior year original appropriation.</w:t>
      </w:r>
    </w:p>
    <w:p w:rsidR="00FE5A18" w:rsidRPr="00FE5A18" w:rsidRDefault="00FE5A18" w:rsidP="00FE5A18">
      <w:pPr>
        <w:spacing w:before="120"/>
        <w:ind w:right="-720"/>
        <w:rPr>
          <w:rFonts w:ascii="Times New Roman" w:hAnsi="Times New Roman"/>
          <w:sz w:val="20"/>
          <w:u w:val="single"/>
        </w:rPr>
      </w:pP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p>
    <w:p w:rsidR="00FE5A18" w:rsidRPr="00FE5A18" w:rsidRDefault="00FE5A18" w:rsidP="00FE5A18">
      <w:pPr>
        <w:tabs>
          <w:tab w:val="decimal" w:pos="270"/>
        </w:tabs>
        <w:ind w:right="-720"/>
        <w:rPr>
          <w:rFonts w:ascii="Times New Roman" w:hAnsi="Times New Roman"/>
          <w:sz w:val="20"/>
        </w:rPr>
      </w:pPr>
      <w:r w:rsidRPr="00FE5A18">
        <w:rPr>
          <w:rFonts w:ascii="Times New Roman" w:hAnsi="Times New Roman"/>
          <w:sz w:val="20"/>
        </w:rPr>
        <w:t>Board Action on:</w:t>
      </w:r>
      <w:r w:rsidRPr="00FE5A18">
        <w:rPr>
          <w:rFonts w:ascii="Times New Roman" w:hAnsi="Times New Roman"/>
          <w:sz w:val="20"/>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rPr>
        <w:tab/>
        <w:t>Postpone:</w:t>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p>
    <w:p w:rsidR="00FE5A18" w:rsidRPr="00FE5A18" w:rsidRDefault="00FE5A18" w:rsidP="00FE5A18">
      <w:pPr>
        <w:tabs>
          <w:tab w:val="left" w:pos="360"/>
        </w:tabs>
        <w:ind w:left="-720" w:right="-720"/>
        <w:rPr>
          <w:rFonts w:ascii="Times New Roman" w:hAnsi="Times New Roman"/>
          <w:sz w:val="20"/>
        </w:rPr>
      </w:pPr>
      <w:r w:rsidRPr="00FE5A18">
        <w:rPr>
          <w:rFonts w:ascii="Times New Roman" w:hAnsi="Times New Roman"/>
          <w:sz w:val="20"/>
        </w:rPr>
        <w:tab/>
        <w:t>Motion by:</w:t>
      </w:r>
      <w:r w:rsidRPr="00FE5A18">
        <w:rPr>
          <w:rFonts w:ascii="Times New Roman" w:hAnsi="Times New Roman"/>
          <w:sz w:val="20"/>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rPr>
        <w:tab/>
        <w:t>Amend:</w:t>
      </w:r>
      <w:r w:rsidRPr="00FE5A18">
        <w:rPr>
          <w:rFonts w:ascii="Times New Roman" w:hAnsi="Times New Roman"/>
          <w:sz w:val="20"/>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p>
    <w:p w:rsidR="00FE5A18" w:rsidRPr="00FE5A18" w:rsidRDefault="00FE5A18" w:rsidP="00FE5A18">
      <w:pPr>
        <w:tabs>
          <w:tab w:val="left" w:pos="360"/>
        </w:tabs>
        <w:ind w:left="-720" w:right="-720"/>
        <w:rPr>
          <w:rFonts w:ascii="Times New Roman" w:hAnsi="Times New Roman"/>
          <w:sz w:val="20"/>
        </w:rPr>
      </w:pPr>
      <w:r w:rsidRPr="00FE5A18">
        <w:rPr>
          <w:rFonts w:ascii="Times New Roman" w:hAnsi="Times New Roman"/>
          <w:sz w:val="20"/>
        </w:rPr>
        <w:tab/>
        <w:t>Second by:</w:t>
      </w:r>
      <w:r w:rsidRPr="00FE5A18">
        <w:rPr>
          <w:rFonts w:ascii="Times New Roman" w:hAnsi="Times New Roman"/>
          <w:sz w:val="20"/>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rPr>
        <w:tab/>
        <w:t>Disapprove:</w:t>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p>
    <w:p w:rsidR="00FE5A18" w:rsidRPr="00FE5A18" w:rsidRDefault="00FE5A18" w:rsidP="00FE5A18">
      <w:pPr>
        <w:tabs>
          <w:tab w:val="left" w:pos="360"/>
        </w:tabs>
        <w:ind w:right="-810"/>
        <w:jc w:val="both"/>
        <w:rPr>
          <w:rFonts w:ascii="Times New Roman" w:hAnsi="Times New Roman"/>
          <w:sz w:val="20"/>
          <w:u w:val="single"/>
        </w:rPr>
      </w:pPr>
      <w:r w:rsidRPr="00FE5A18">
        <w:rPr>
          <w:rFonts w:ascii="Times New Roman" w:hAnsi="Times New Roman"/>
          <w:sz w:val="20"/>
        </w:rPr>
        <w:tab/>
        <w:t>Vote:</w:t>
      </w:r>
      <w:r w:rsidRPr="00FE5A18">
        <w:rPr>
          <w:rFonts w:ascii="Times New Roman" w:hAnsi="Times New Roman"/>
          <w:sz w:val="20"/>
        </w:rPr>
        <w:tab/>
        <w:t>Yeas:</w:t>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rPr>
        <w:t>Nays:</w:t>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rPr>
        <w:tab/>
        <w:t>Approve:</w:t>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r w:rsidRPr="00FE5A18">
        <w:rPr>
          <w:rFonts w:ascii="Times New Roman" w:hAnsi="Times New Roman"/>
          <w:sz w:val="20"/>
          <w:u w:val="single"/>
        </w:rPr>
        <w:tab/>
      </w:r>
    </w:p>
    <w:p w:rsidR="00FE5A18" w:rsidRPr="00FE5A18" w:rsidRDefault="00FE5A18" w:rsidP="00FE5A18">
      <w:pPr>
        <w:tabs>
          <w:tab w:val="left" w:pos="360"/>
        </w:tabs>
        <w:ind w:right="-810"/>
        <w:jc w:val="both"/>
        <w:rPr>
          <w:rFonts w:ascii="Times New Roman" w:hAnsi="Times New Roman"/>
          <w:sz w:val="20"/>
          <w:u w:val="single"/>
        </w:rPr>
      </w:pPr>
    </w:p>
    <w:p w:rsidR="00FE5A18" w:rsidRPr="00FE5A18" w:rsidRDefault="00FE5A18" w:rsidP="00FE5A18">
      <w:pPr>
        <w:jc w:val="right"/>
        <w:rPr>
          <w:rFonts w:ascii="Times New Roman" w:hAnsi="Times New Roman"/>
          <w:sz w:val="20"/>
          <w:u w:val="single"/>
        </w:rPr>
      </w:pP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u w:val="single"/>
        </w:rPr>
        <w:t>ATTEST: Board Action, October 23, 2015</w:t>
      </w:r>
    </w:p>
    <w:p w:rsidR="00FE5A18" w:rsidRPr="00FE5A18" w:rsidRDefault="00FE5A18" w:rsidP="00FE5A18">
      <w:pPr>
        <w:jc w:val="right"/>
        <w:rPr>
          <w:rFonts w:ascii="Times New Roman" w:hAnsi="Times New Roman"/>
          <w:sz w:val="20"/>
          <w:u w:val="single"/>
        </w:rPr>
      </w:pPr>
    </w:p>
    <w:p w:rsidR="00771F46" w:rsidRDefault="00FE5A18" w:rsidP="00FE5A18">
      <w:pPr>
        <w:tabs>
          <w:tab w:val="left" w:pos="360"/>
        </w:tabs>
        <w:ind w:right="-810"/>
        <w:jc w:val="both"/>
        <w:rPr>
          <w:rFonts w:ascii="Times New Roman" w:hAnsi="Times New Roman"/>
          <w:sz w:val="20"/>
        </w:rPr>
      </w:pPr>
      <w:r>
        <w:rPr>
          <w:rFonts w:ascii="Times New Roman" w:hAnsi="Times New Roman"/>
          <w:sz w:val="20"/>
        </w:rPr>
        <w:t xml:space="preserve">                                                                                                                      _________________________________</w:t>
      </w:r>
      <w:r w:rsidRPr="00FE5A18">
        <w:rPr>
          <w:rFonts w:ascii="Times New Roman" w:hAnsi="Times New Roman"/>
          <w:sz w:val="20"/>
        </w:rPr>
        <w:t xml:space="preserve">               </w:t>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r>
      <w:r w:rsidRPr="00FE5A18">
        <w:rPr>
          <w:rFonts w:ascii="Times New Roman" w:hAnsi="Times New Roman"/>
          <w:sz w:val="20"/>
        </w:rPr>
        <w:tab/>
        <w:t xml:space="preserve">          </w:t>
      </w:r>
      <w:r>
        <w:rPr>
          <w:rFonts w:ascii="Times New Roman" w:hAnsi="Times New Roman"/>
          <w:sz w:val="20"/>
        </w:rPr>
        <w:t xml:space="preserve">                                             Secretary/Chairperson</w:t>
      </w:r>
    </w:p>
    <w:p w:rsidR="00FE5A18" w:rsidRPr="00FE5A18" w:rsidRDefault="00FE5A18" w:rsidP="00FE5A18">
      <w:pPr>
        <w:pStyle w:val="Subtitle"/>
        <w:jc w:val="center"/>
        <w:rPr>
          <w:sz w:val="20"/>
          <w:szCs w:val="20"/>
        </w:rPr>
      </w:pPr>
      <w:r w:rsidRPr="00FE5A18">
        <w:rPr>
          <w:sz w:val="20"/>
          <w:szCs w:val="20"/>
        </w:rPr>
        <w:lastRenderedPageBreak/>
        <w:t>Board of Trustees</w:t>
      </w:r>
    </w:p>
    <w:p w:rsidR="00FE5A18" w:rsidRPr="00FE5A18" w:rsidRDefault="00FE5A18" w:rsidP="00FE5A18">
      <w:pPr>
        <w:pStyle w:val="Subtitle"/>
        <w:jc w:val="center"/>
        <w:rPr>
          <w:sz w:val="20"/>
          <w:szCs w:val="20"/>
        </w:rPr>
      </w:pPr>
      <w:r w:rsidRPr="00FE5A18">
        <w:rPr>
          <w:sz w:val="20"/>
          <w:szCs w:val="20"/>
        </w:rPr>
        <w:t>Illinois State University</w:t>
      </w:r>
    </w:p>
    <w:p w:rsidR="00FE5A18" w:rsidRPr="00FE5A18" w:rsidRDefault="00FE5A18" w:rsidP="00FE5A18">
      <w:pPr>
        <w:pStyle w:val="Subtitle"/>
        <w:jc w:val="center"/>
        <w:rPr>
          <w:b w:val="0"/>
          <w:sz w:val="20"/>
          <w:szCs w:val="20"/>
        </w:rPr>
      </w:pPr>
      <w:r w:rsidRPr="00FE5A18">
        <w:rPr>
          <w:sz w:val="20"/>
          <w:szCs w:val="20"/>
        </w:rPr>
        <w:t>FY2016 Budget for Operations</w:t>
      </w:r>
    </w:p>
    <w:p w:rsidR="00FE5A18" w:rsidRPr="00FE5A18" w:rsidRDefault="00FE5A18" w:rsidP="00FE5A18">
      <w:pPr>
        <w:spacing w:before="360"/>
        <w:jc w:val="center"/>
        <w:outlineLvl w:val="0"/>
        <w:rPr>
          <w:rFonts w:ascii="Times New Roman" w:hAnsi="Times New Roman"/>
          <w:b/>
          <w:sz w:val="20"/>
          <w:u w:val="single"/>
        </w:rPr>
      </w:pPr>
      <w:r w:rsidRPr="00FE5A18">
        <w:rPr>
          <w:rFonts w:ascii="Times New Roman" w:hAnsi="Times New Roman"/>
          <w:b/>
          <w:sz w:val="20"/>
          <w:u w:val="single"/>
        </w:rPr>
        <w:t>Background</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In FY2004, the Illinois Board of Higher Education (IBHE) adopted several new policies related to fiscal accountability in higher education. One policy calls upon each public university governing board to review and approve an official budget each fall. The IBHE policy requires the budget be approved by source of funds, by functional expenditures and by objects of expenditure. Moreover, the specific functions and objects of expenditure are defined by the IBHE. Those definitions are provided in Appendix A.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The University’s major sources of funds can be grouped into two broad classifications</w:t>
      </w:r>
      <w:r w:rsidRPr="00FE5A18">
        <w:rPr>
          <w:rFonts w:ascii="Times New Roman" w:hAnsi="Times New Roman"/>
          <w:sz w:val="20"/>
        </w:rPr>
        <w:softHyphen/>
      </w:r>
      <w:r w:rsidRPr="00FE5A18">
        <w:rPr>
          <w:rFonts w:ascii="Times New Roman" w:hAnsi="Times New Roman"/>
          <w:sz w:val="20"/>
        </w:rPr>
        <w:softHyphen/>
        <w:t xml:space="preserve">– unrestricted purpose funds and restricted purpose funds. Unrestricted purpose funds are those that the University has the most discretion in allocating among its instruction, public service, research and academic and institutional support functions. These funds include: </w:t>
      </w:r>
    </w:p>
    <w:p w:rsidR="00FE5A18" w:rsidRPr="00FE5A18" w:rsidRDefault="00FE5A18" w:rsidP="00FE5A18">
      <w:pPr>
        <w:numPr>
          <w:ilvl w:val="0"/>
          <w:numId w:val="3"/>
        </w:numPr>
        <w:overflowPunct/>
        <w:autoSpaceDE/>
        <w:autoSpaceDN/>
        <w:adjustRightInd/>
        <w:spacing w:before="240"/>
        <w:textAlignment w:val="auto"/>
        <w:outlineLvl w:val="0"/>
        <w:rPr>
          <w:rFonts w:ascii="Times New Roman" w:hAnsi="Times New Roman"/>
          <w:sz w:val="20"/>
        </w:rPr>
      </w:pPr>
      <w:r w:rsidRPr="00FE5A18">
        <w:rPr>
          <w:rFonts w:ascii="Times New Roman" w:hAnsi="Times New Roman"/>
          <w:b/>
          <w:sz w:val="20"/>
        </w:rPr>
        <w:t>State Appropriated Funds</w:t>
      </w:r>
      <w:r w:rsidRPr="00FE5A18">
        <w:rPr>
          <w:rFonts w:ascii="Times New Roman" w:hAnsi="Times New Roman"/>
          <w:sz w:val="20"/>
        </w:rPr>
        <w:t>. Normally referred to as General Revenue Funds, these monies are appropriated to Illinois State University annually by the General Assembly and approved by the Governor for ordinary operational expenses.</w:t>
      </w:r>
    </w:p>
    <w:p w:rsidR="00FE5A18" w:rsidRPr="00FE5A18" w:rsidRDefault="00FE5A18" w:rsidP="00FE5A18">
      <w:pPr>
        <w:numPr>
          <w:ilvl w:val="0"/>
          <w:numId w:val="3"/>
        </w:numPr>
        <w:overflowPunct/>
        <w:autoSpaceDE/>
        <w:autoSpaceDN/>
        <w:adjustRightInd/>
        <w:spacing w:before="240"/>
        <w:textAlignment w:val="auto"/>
        <w:outlineLvl w:val="0"/>
        <w:rPr>
          <w:rFonts w:ascii="Times New Roman" w:hAnsi="Times New Roman"/>
          <w:sz w:val="20"/>
        </w:rPr>
      </w:pPr>
      <w:r w:rsidRPr="00FE5A18">
        <w:rPr>
          <w:rFonts w:ascii="Times New Roman" w:hAnsi="Times New Roman"/>
          <w:b/>
          <w:sz w:val="20"/>
        </w:rPr>
        <w:t>University Income Fund</w:t>
      </w:r>
      <w:r w:rsidRPr="00FE5A18">
        <w:rPr>
          <w:rFonts w:ascii="Times New Roman" w:hAnsi="Times New Roman"/>
          <w:sz w:val="20"/>
        </w:rPr>
        <w:t>. Include annual tuition revenue and some miscellaneous instructional fees.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State appropriated funds and the University Income Fund are aggregated and collectively budgeted as General Revenue Funds.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Restricted purpose funds are those funds whose use is restricted either by a granting agency, legislative statutes and rules, or by other contractual commitments. These funds include:</w:t>
      </w:r>
    </w:p>
    <w:p w:rsidR="00FE5A18" w:rsidRPr="00FE5A18" w:rsidRDefault="00FE5A18" w:rsidP="00FE5A18">
      <w:pPr>
        <w:numPr>
          <w:ilvl w:val="0"/>
          <w:numId w:val="3"/>
        </w:numPr>
        <w:overflowPunct/>
        <w:autoSpaceDE/>
        <w:autoSpaceDN/>
        <w:adjustRightInd/>
        <w:spacing w:before="240"/>
        <w:textAlignment w:val="auto"/>
        <w:outlineLvl w:val="0"/>
        <w:rPr>
          <w:rFonts w:ascii="Times New Roman" w:hAnsi="Times New Roman"/>
          <w:sz w:val="20"/>
        </w:rPr>
      </w:pPr>
      <w:r w:rsidRPr="00FE5A18">
        <w:rPr>
          <w:rFonts w:ascii="Times New Roman" w:hAnsi="Times New Roman"/>
          <w:b/>
          <w:sz w:val="20"/>
        </w:rPr>
        <w:t>Bond Revenue (Auxiliary Facilities System – AFS)</w:t>
      </w:r>
      <w:r w:rsidRPr="00FE5A18">
        <w:rPr>
          <w:rFonts w:ascii="Times New Roman" w:hAnsi="Times New Roman"/>
          <w:sz w:val="20"/>
        </w:rPr>
        <w:t>:  Revenues that are derived from the operation of facilities constructed with proceeds from debt issued by the University, such as residence halls and dining centers. The revenue is used both for operations of the unit and to repay the debt to the bond holders. These funds cannot be used for other purposes.</w:t>
      </w:r>
    </w:p>
    <w:p w:rsidR="00FE5A18" w:rsidRPr="00FE5A18" w:rsidRDefault="00FE5A18" w:rsidP="00FE5A18">
      <w:pPr>
        <w:numPr>
          <w:ilvl w:val="0"/>
          <w:numId w:val="3"/>
        </w:numPr>
        <w:overflowPunct/>
        <w:autoSpaceDE/>
        <w:autoSpaceDN/>
        <w:adjustRightInd/>
        <w:spacing w:before="240"/>
        <w:textAlignment w:val="auto"/>
        <w:outlineLvl w:val="0"/>
        <w:rPr>
          <w:rFonts w:ascii="Times New Roman" w:hAnsi="Times New Roman"/>
          <w:sz w:val="20"/>
        </w:rPr>
      </w:pPr>
      <w:r w:rsidRPr="00FE5A18">
        <w:rPr>
          <w:rFonts w:ascii="Times New Roman" w:hAnsi="Times New Roman"/>
          <w:b/>
          <w:sz w:val="20"/>
        </w:rPr>
        <w:t>Grants and Contracts</w:t>
      </w:r>
      <w:r w:rsidRPr="00FE5A18">
        <w:rPr>
          <w:rFonts w:ascii="Times New Roman" w:hAnsi="Times New Roman"/>
          <w:sz w:val="20"/>
        </w:rPr>
        <w:t xml:space="preserve">:  Includes funds that are awarded to individual faculty or staff members for research projects or institutional improvement.  Funds may come from federal, state or local grant foundations and are governed by individual guidelines of the grantor.  Also included in the category are federal and state student financial aid funds granted to the University to be distributed to students. </w:t>
      </w:r>
    </w:p>
    <w:p w:rsidR="00FE5A18" w:rsidRPr="00FE5A18" w:rsidRDefault="00FE5A18" w:rsidP="00FE5A18">
      <w:pPr>
        <w:numPr>
          <w:ilvl w:val="0"/>
          <w:numId w:val="3"/>
        </w:numPr>
        <w:overflowPunct/>
        <w:autoSpaceDE/>
        <w:autoSpaceDN/>
        <w:adjustRightInd/>
        <w:spacing w:before="240"/>
        <w:textAlignment w:val="auto"/>
        <w:outlineLvl w:val="0"/>
        <w:rPr>
          <w:rFonts w:ascii="Times New Roman" w:hAnsi="Times New Roman"/>
          <w:sz w:val="20"/>
        </w:rPr>
      </w:pPr>
      <w:r w:rsidRPr="00FE5A18">
        <w:rPr>
          <w:rFonts w:ascii="Times New Roman" w:hAnsi="Times New Roman"/>
          <w:b/>
          <w:sz w:val="20"/>
        </w:rPr>
        <w:t>Other Local Funds</w:t>
      </w:r>
      <w:r w:rsidRPr="00FE5A18">
        <w:rPr>
          <w:rFonts w:ascii="Times New Roman" w:hAnsi="Times New Roman"/>
          <w:sz w:val="20"/>
        </w:rPr>
        <w:t>:  Includes monies generated by self-supporting units such as the University Farm, monies from student fees such as the athletic fee, and monies generated by charging a course material fee.  These funds are restricted in use to the specific purpose for which they are charged.  In other words, revenue generated from a course material fee must be used to purchase materials for this same course in the future. These funds are sometimes referred to as “Agency Funds.”</w:t>
      </w:r>
    </w:p>
    <w:p w:rsidR="00FE5A18" w:rsidRPr="00FE5A18" w:rsidRDefault="00FE5A18" w:rsidP="00FE5A18">
      <w:pPr>
        <w:spacing w:before="240"/>
        <w:jc w:val="center"/>
        <w:outlineLvl w:val="0"/>
        <w:rPr>
          <w:rFonts w:ascii="Times New Roman" w:hAnsi="Times New Roman"/>
          <w:b/>
          <w:sz w:val="20"/>
          <w:u w:val="single"/>
        </w:rPr>
      </w:pPr>
      <w:r w:rsidRPr="00FE5A18">
        <w:rPr>
          <w:rFonts w:ascii="Times New Roman" w:hAnsi="Times New Roman"/>
          <w:b/>
          <w:sz w:val="20"/>
          <w:u w:val="single"/>
        </w:rPr>
        <w:t>Context</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Uncertainty of the State of Illinois budget for FY2016 and the corresponding appropriations for higher education requires the Board to provide approval of the FY2016 Operating Budget contingent upon the eventual determination of the FY2016 general revenue appropriations to Illinois State University.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Therefore, the University seeks approval of its FY2016 Operating Budget that is limited to the lesser of a total amount of $422,246,900, which is reflective of a $7.4 million (10%) reduction in appropriations from the prior year </w:t>
      </w:r>
      <w:r w:rsidRPr="00FE5A18">
        <w:rPr>
          <w:rFonts w:ascii="Times New Roman" w:hAnsi="Times New Roman"/>
          <w:sz w:val="20"/>
        </w:rPr>
        <w:lastRenderedPageBreak/>
        <w:t>original appropriation and is detailed below; or a total amount of $422,246,900 reduced by the difference of any FY2016 appropriation reduction from the prior year original appropriation greater than $7.4 million.</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Table 1 presents a summary FY2015 projected and actual</w:t>
      </w:r>
      <w:r w:rsidRPr="00FE5A18">
        <w:rPr>
          <w:rStyle w:val="FootnoteReference"/>
          <w:rFonts w:ascii="Times New Roman" w:hAnsi="Times New Roman"/>
          <w:sz w:val="20"/>
        </w:rPr>
        <w:footnoteReference w:id="1"/>
      </w:r>
      <w:r w:rsidRPr="00FE5A18">
        <w:rPr>
          <w:rFonts w:ascii="Times New Roman" w:hAnsi="Times New Roman"/>
          <w:sz w:val="20"/>
        </w:rPr>
        <w:t xml:space="preserve"> revenues by fund source in order to provide a context for the proposed FY2016 operating budget.  Also provided </w:t>
      </w:r>
      <w:proofErr w:type="gramStart"/>
      <w:r w:rsidRPr="00FE5A18">
        <w:rPr>
          <w:rFonts w:ascii="Times New Roman" w:hAnsi="Times New Roman"/>
          <w:sz w:val="20"/>
        </w:rPr>
        <w:t>is the projected revenues</w:t>
      </w:r>
      <w:proofErr w:type="gramEnd"/>
      <w:r w:rsidRPr="00FE5A18">
        <w:rPr>
          <w:rFonts w:ascii="Times New Roman" w:hAnsi="Times New Roman"/>
          <w:sz w:val="20"/>
        </w:rPr>
        <w:t xml:space="preserve"> by fund source.</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noProof/>
          <w:sz w:val="20"/>
        </w:rPr>
        <w:drawing>
          <wp:inline distT="0" distB="0" distL="0" distR="0" wp14:anchorId="68872591" wp14:editId="23B908D0">
            <wp:extent cx="5943600" cy="42522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52267"/>
                    </a:xfrm>
                    <a:prstGeom prst="rect">
                      <a:avLst/>
                    </a:prstGeom>
                    <a:noFill/>
                    <a:ln>
                      <a:noFill/>
                    </a:ln>
                  </pic:spPr>
                </pic:pic>
              </a:graphicData>
            </a:graphic>
          </wp:inline>
        </w:drawing>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Table 1 shows that actual revenues from all fund sources in FY2015 were $421.5 million, which is within 1.0 percent of estimated. Looking ahead to FY2016, it is expected that revenues for all fund sources will sum to a 0.0 percent change.</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As demonstrated in Table 1, 40.2 percent of the University’s FY2016 budget will be made of restricted funds. Restricted funds are primarily comprised of Bond Revenue Operations, such as housing, dining and student activity operations. Other Local Funds, or “Agency” funds are expected to represent 13.7 percent of the total University budget and Grants and Contracts are expected to represent 6.3 percent. The projected change from FY2015 to FY2016 for all Restricted Funds is an increase of 1.0 percent, resulting primarily from minor fee increases.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As Table 1 demonstrates, FY2016 Unrestricted Funds are expected to decrease 0.7 percent. This encompasses a $7.4 million dollar decrease to the state appropriation and an increase to the University Income Fund resulting from an increase in projected enrollments as well as tuition and fee rate increases previously approved by the Board of Trustees.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The proportion of University operations and grants that are funded from State appropriations continues to decline.  If a ten-percent rescission is imposed, only 16 percent of the total institutional operating revenues will come from State </w:t>
      </w:r>
      <w:r w:rsidRPr="00FE5A18">
        <w:rPr>
          <w:rFonts w:ascii="Times New Roman" w:hAnsi="Times New Roman"/>
          <w:sz w:val="20"/>
        </w:rPr>
        <w:lastRenderedPageBreak/>
        <w:t xml:space="preserve">appropriated funds in FY2016, including $3.1 million that will be transferred to the Illinois Department of Central Management Services as a contribution toward Group Health Insurance premiums. </w:t>
      </w:r>
    </w:p>
    <w:p w:rsidR="00FE5A18" w:rsidRPr="00FE5A18" w:rsidRDefault="00FE5A18" w:rsidP="00FE5A18">
      <w:pPr>
        <w:spacing w:before="240"/>
        <w:jc w:val="center"/>
        <w:outlineLvl w:val="0"/>
        <w:rPr>
          <w:rFonts w:ascii="Times New Roman" w:hAnsi="Times New Roman"/>
          <w:b/>
          <w:sz w:val="20"/>
          <w:u w:val="single"/>
        </w:rPr>
      </w:pPr>
      <w:r w:rsidRPr="00FE5A18">
        <w:rPr>
          <w:rFonts w:ascii="Times New Roman" w:hAnsi="Times New Roman"/>
          <w:b/>
          <w:sz w:val="20"/>
          <w:u w:val="single"/>
        </w:rPr>
        <w:t>Budget Detail by Function and Object of Expenditure</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Table 2 presents the estimated FY2016 operations and grants budget by fund source and by projected functional expenditure.  The budget is divided into eight functional areas:  Instruction, Organized Research, Public Service, Academic Support, Student Services, Institutional Support, Operations and Maintenance of the Physical Plant, and Independent Operations (See Appendix A).  These functional classifications are identified and defined in the Illinois Board of Higher Education’s </w:t>
      </w:r>
      <w:r w:rsidRPr="00FE5A18">
        <w:rPr>
          <w:rFonts w:ascii="Times New Roman" w:hAnsi="Times New Roman"/>
          <w:i/>
          <w:sz w:val="20"/>
        </w:rPr>
        <w:t>Resource Allocation Management Program (RAMP</w:t>
      </w:r>
      <w:r w:rsidRPr="00FE5A18">
        <w:rPr>
          <w:rFonts w:ascii="Times New Roman" w:hAnsi="Times New Roman"/>
          <w:sz w:val="20"/>
        </w:rPr>
        <w:t xml:space="preserve">).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noProof/>
          <w:sz w:val="20"/>
        </w:rPr>
        <w:drawing>
          <wp:inline distT="0" distB="0" distL="0" distR="0" wp14:anchorId="0C93E4F0" wp14:editId="20C288B5">
            <wp:extent cx="5943600" cy="373046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30468"/>
                    </a:xfrm>
                    <a:prstGeom prst="rect">
                      <a:avLst/>
                    </a:prstGeom>
                    <a:noFill/>
                    <a:ln>
                      <a:noFill/>
                    </a:ln>
                  </pic:spPr>
                </pic:pic>
              </a:graphicData>
            </a:graphic>
          </wp:inline>
        </w:drawing>
      </w:r>
    </w:p>
    <w:p w:rsidR="00FE5A18" w:rsidRPr="00FE5A18" w:rsidRDefault="00FE5A18" w:rsidP="00FE5A18">
      <w:pPr>
        <w:spacing w:before="240"/>
        <w:outlineLvl w:val="0"/>
        <w:rPr>
          <w:rFonts w:ascii="Times New Roman" w:hAnsi="Times New Roman"/>
          <w:sz w:val="20"/>
          <w:highlight w:val="yellow"/>
        </w:rPr>
      </w:pPr>
      <w:r w:rsidRPr="00FE5A18">
        <w:rPr>
          <w:rFonts w:ascii="Times New Roman" w:hAnsi="Times New Roman"/>
          <w:sz w:val="20"/>
        </w:rPr>
        <w:t>Illinois State University expects to spend $178.6 million in FY2016 on the activities associated with its core functions of instruction, research and public service. This amount is 42.3 percent of the estimated total University expenditures. Most of these funds ($140.1 million) are derived from General Revenue appropriations or University Income Fund. Another $27.2 million is expected to be spent on those activities that provide direct support to those core functions, referred to in the table above as “Academic Support.” The largest allocation within this function is for the operations of Milner Library but also includes some academic administrative functions.</w:t>
      </w:r>
      <w:r w:rsidRPr="00FE5A18">
        <w:rPr>
          <w:rFonts w:ascii="Times New Roman" w:hAnsi="Times New Roman"/>
          <w:sz w:val="20"/>
          <w:highlight w:val="yellow"/>
        </w:rPr>
        <w:t xml:space="preserve">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Of the $57.7 million estimated to be spent on operations and maintenance, approximately $12 million will be for utilities (electricity, natural gas, sewer and water). Deferred maintenance of facilities will be addressed to the extent the budget allows. The University’s accumulated backlog of maintenance required to bring general revenue facilities up to top working condition is estimated at $230 million.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Table 3 provides an estimated breakdown of anticipated expenditures by object of expenditure (see appendix A). All universities are labor intensive organizations, and Illinois State University is no exception.  Over half (53.3 percent) of all funds are budgeted for personal service expenditures.  Of the $225.3 million budgeted for personal services, $160.9 million, or 71.4 percent, is expected from General Revenue and University Income funds.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noProof/>
          <w:sz w:val="20"/>
        </w:rPr>
        <w:lastRenderedPageBreak/>
        <w:drawing>
          <wp:inline distT="0" distB="0" distL="0" distR="0" wp14:anchorId="62034019" wp14:editId="31BEEFB3">
            <wp:extent cx="5943600" cy="495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The budget for contractual services includes $12 million devoted to utilities. The sum of personal services and contractual services accounts for just </w:t>
      </w:r>
      <w:proofErr w:type="gramStart"/>
      <w:r w:rsidRPr="00FE5A18">
        <w:rPr>
          <w:rFonts w:ascii="Times New Roman" w:hAnsi="Times New Roman"/>
          <w:sz w:val="20"/>
        </w:rPr>
        <w:t>under</w:t>
      </w:r>
      <w:proofErr w:type="gramEnd"/>
      <w:r w:rsidRPr="00FE5A18">
        <w:rPr>
          <w:rFonts w:ascii="Times New Roman" w:hAnsi="Times New Roman"/>
          <w:sz w:val="20"/>
        </w:rPr>
        <w:t xml:space="preserve"> three-quarters of all expenditures. The remaining quarter will be used for all other expenses such as student financial assistance, group health insurance, equipment purchases, debt service, small remodeling projects and building maintenance.</w:t>
      </w:r>
    </w:p>
    <w:p w:rsidR="00FE5A18" w:rsidRPr="00FE5A18" w:rsidRDefault="00FE5A18" w:rsidP="00FE5A18">
      <w:pPr>
        <w:spacing w:before="240"/>
        <w:jc w:val="center"/>
        <w:outlineLvl w:val="0"/>
        <w:rPr>
          <w:rFonts w:ascii="Times New Roman" w:hAnsi="Times New Roman"/>
          <w:b/>
          <w:sz w:val="20"/>
          <w:u w:val="single"/>
        </w:rPr>
      </w:pPr>
      <w:r w:rsidRPr="00FE5A18">
        <w:rPr>
          <w:rFonts w:ascii="Times New Roman" w:hAnsi="Times New Roman"/>
          <w:b/>
          <w:sz w:val="20"/>
          <w:u w:val="single"/>
        </w:rPr>
        <w:t>Conclusion</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sz w:val="20"/>
        </w:rPr>
        <w:t xml:space="preserve">This item was prepared in accordance with Illinois Board of Higher Education policy that calls upon public university governing boards to review and approve an operating budget annually each fall. The University continues to allocate its resources to its highest priorities and to support those initiatives that are outlined in its strategic plan, </w:t>
      </w:r>
      <w:r w:rsidRPr="00FE5A18">
        <w:rPr>
          <w:rFonts w:ascii="Times New Roman" w:hAnsi="Times New Roman"/>
          <w:i/>
          <w:sz w:val="20"/>
        </w:rPr>
        <w:t>Educating Illinois</w:t>
      </w:r>
      <w:r w:rsidRPr="00FE5A18">
        <w:rPr>
          <w:rFonts w:ascii="Times New Roman" w:hAnsi="Times New Roman"/>
          <w:sz w:val="20"/>
        </w:rPr>
        <w:t>. Instruction and the support of high quality faculty and staff continue to be the two highest priorities.</w:t>
      </w:r>
    </w:p>
    <w:p w:rsidR="00FE5A18" w:rsidRPr="00FE5A18" w:rsidRDefault="00FE5A18" w:rsidP="00FE5A18">
      <w:pPr>
        <w:spacing w:before="240"/>
        <w:jc w:val="center"/>
        <w:outlineLvl w:val="0"/>
        <w:rPr>
          <w:rFonts w:ascii="Times New Roman" w:hAnsi="Times New Roman"/>
          <w:b/>
          <w:sz w:val="20"/>
        </w:rPr>
      </w:pPr>
      <w:r w:rsidRPr="00FE5A18">
        <w:rPr>
          <w:rFonts w:ascii="Times New Roman" w:hAnsi="Times New Roman"/>
          <w:b/>
          <w:sz w:val="20"/>
        </w:rPr>
        <w:br w:type="page"/>
      </w:r>
      <w:r w:rsidRPr="00FE5A18">
        <w:rPr>
          <w:rFonts w:ascii="Times New Roman" w:hAnsi="Times New Roman"/>
          <w:b/>
          <w:sz w:val="20"/>
        </w:rPr>
        <w:lastRenderedPageBreak/>
        <w:t>Appendix A</w:t>
      </w:r>
    </w:p>
    <w:p w:rsidR="00FE5A18" w:rsidRPr="00FE5A18" w:rsidRDefault="00FE5A18" w:rsidP="00FE5A18">
      <w:pPr>
        <w:spacing w:before="240"/>
        <w:jc w:val="center"/>
        <w:outlineLvl w:val="0"/>
        <w:rPr>
          <w:rFonts w:ascii="Times New Roman" w:hAnsi="Times New Roman"/>
          <w:b/>
          <w:sz w:val="20"/>
        </w:rPr>
      </w:pPr>
      <w:r w:rsidRPr="00FE5A18">
        <w:rPr>
          <w:rFonts w:ascii="Times New Roman" w:hAnsi="Times New Roman"/>
          <w:b/>
          <w:sz w:val="20"/>
        </w:rPr>
        <w:t>Standard Definitions of Functions and Objects of Expenditures</w:t>
      </w:r>
    </w:p>
    <w:p w:rsidR="00FE5A18" w:rsidRPr="00FE5A18" w:rsidRDefault="00FE5A18" w:rsidP="00FE5A18">
      <w:pPr>
        <w:spacing w:before="240"/>
        <w:outlineLvl w:val="0"/>
        <w:rPr>
          <w:rFonts w:ascii="Times New Roman" w:hAnsi="Times New Roman"/>
          <w:b/>
          <w:sz w:val="20"/>
          <w:u w:val="single"/>
        </w:rPr>
      </w:pPr>
      <w:r w:rsidRPr="00FE5A18">
        <w:rPr>
          <w:rFonts w:ascii="Times New Roman" w:hAnsi="Times New Roman"/>
          <w:b/>
          <w:sz w:val="20"/>
          <w:u w:val="single"/>
        </w:rPr>
        <w:t>Functional Areas: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Instruction</w:t>
      </w:r>
      <w:r w:rsidRPr="00FE5A18">
        <w:rPr>
          <w:rFonts w:ascii="Times New Roman" w:hAnsi="Times New Roman"/>
          <w:sz w:val="20"/>
        </w:rPr>
        <w:t xml:space="preserve"> – Activities carried out for the explicit purpose of eliciting some measure of educational change in a learner or group of learners.  Activities include both teaching and facilitating activities.  </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Organized Research</w:t>
      </w:r>
      <w:r w:rsidRPr="00FE5A18">
        <w:rPr>
          <w:rFonts w:ascii="Times New Roman" w:hAnsi="Times New Roman"/>
          <w:sz w:val="20"/>
        </w:rPr>
        <w:t xml:space="preserve"> – Activities intended to produce one or more research outcomes including the creation of knowledge, reorganization of knowledge and the application of knowledge.  Research activities carried out on an individual or project basis usually result from special institutional grant awards to individual faculty members.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Public Service</w:t>
      </w:r>
      <w:r w:rsidRPr="00FE5A18">
        <w:rPr>
          <w:rFonts w:ascii="Times New Roman" w:hAnsi="Times New Roman"/>
          <w:sz w:val="20"/>
        </w:rPr>
        <w:t xml:space="preserve"> – Program elements established to make available to the public the various unique resources and capabilities of the University for the specific purpose of responding to a community need or solving a community problem.</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Academic Support</w:t>
      </w:r>
      <w:r w:rsidRPr="00FE5A18">
        <w:rPr>
          <w:rFonts w:ascii="Times New Roman" w:hAnsi="Times New Roman"/>
          <w:sz w:val="20"/>
        </w:rPr>
        <w:t xml:space="preserve"> – Activities that are carried out in direct support of the three primary programs of instruction, organized research and public service.</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Student Services</w:t>
      </w:r>
      <w:r w:rsidRPr="00FE5A18">
        <w:rPr>
          <w:rFonts w:ascii="Times New Roman" w:hAnsi="Times New Roman"/>
          <w:sz w:val="20"/>
        </w:rPr>
        <w:t xml:space="preserve"> – Activities carried out with the objective of contributing to the emotional and physical well-being of students as well as to their intellectual, cultural and social development outside the context of the University’s formal instructional activities.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Institutional Support</w:t>
      </w:r>
      <w:r w:rsidRPr="00FE5A18">
        <w:rPr>
          <w:rFonts w:ascii="Times New Roman" w:hAnsi="Times New Roman"/>
          <w:sz w:val="20"/>
        </w:rPr>
        <w:t xml:space="preserve"> – Activities carried out to provide for the day-to-day functioning as well as the long-range viability of the University as an operating organization.</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Operation and Maintenance of the Physical Plant</w:t>
      </w:r>
      <w:r w:rsidRPr="00FE5A18">
        <w:rPr>
          <w:rFonts w:ascii="Times New Roman" w:hAnsi="Times New Roman"/>
          <w:sz w:val="20"/>
        </w:rPr>
        <w:t xml:space="preserve"> – Activities related to maintaining existing grounds and facilities used for educational and general purposes, providing utility services, campus security and fire protection, transportation and rental of space.</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Independent Operations</w:t>
      </w:r>
      <w:r w:rsidRPr="00FE5A18">
        <w:rPr>
          <w:rFonts w:ascii="Times New Roman" w:hAnsi="Times New Roman"/>
          <w:sz w:val="20"/>
        </w:rPr>
        <w:t xml:space="preserve"> – Auxiliary Services and programs and activities that are unrelated to the primary mission of the university (instruction, organized research and public service).</w:t>
      </w:r>
    </w:p>
    <w:p w:rsidR="00FE5A18" w:rsidRPr="00FE5A18" w:rsidRDefault="00FE5A18" w:rsidP="00FE5A18">
      <w:pPr>
        <w:spacing w:before="240"/>
        <w:outlineLvl w:val="0"/>
        <w:rPr>
          <w:rFonts w:ascii="Times New Roman" w:hAnsi="Times New Roman"/>
          <w:b/>
          <w:sz w:val="20"/>
          <w:u w:val="single"/>
        </w:rPr>
      </w:pPr>
      <w:r w:rsidRPr="00FE5A18">
        <w:rPr>
          <w:rFonts w:ascii="Times New Roman" w:hAnsi="Times New Roman"/>
          <w:b/>
          <w:sz w:val="20"/>
          <w:u w:val="single"/>
        </w:rPr>
        <w:t>Objects of Expenditure:</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Personal Services</w:t>
      </w:r>
      <w:r w:rsidRPr="00FE5A18">
        <w:rPr>
          <w:rFonts w:ascii="Times New Roman" w:hAnsi="Times New Roman"/>
          <w:sz w:val="20"/>
        </w:rPr>
        <w:t xml:space="preserve"> – Wages and salaries.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Contractual</w:t>
      </w:r>
      <w:r w:rsidRPr="00FE5A18">
        <w:rPr>
          <w:rFonts w:ascii="Times New Roman" w:hAnsi="Times New Roman"/>
          <w:sz w:val="20"/>
        </w:rPr>
        <w:t xml:space="preserve"> – Payment for services from vendors.  The largest contractual expenditure for Illinois State University is utility expense.</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Travel</w:t>
      </w:r>
      <w:r w:rsidRPr="00FE5A18">
        <w:rPr>
          <w:rFonts w:ascii="Times New Roman" w:hAnsi="Times New Roman"/>
          <w:sz w:val="20"/>
        </w:rPr>
        <w:t xml:space="preserve"> – Reimbursements to employees or vendors for in state or out of state travel including transportation, mileage, lodging and meals.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Commodities</w:t>
      </w:r>
      <w:r w:rsidRPr="00FE5A18">
        <w:rPr>
          <w:rFonts w:ascii="Times New Roman" w:hAnsi="Times New Roman"/>
          <w:sz w:val="20"/>
        </w:rPr>
        <w:t xml:space="preserve"> – Purchase of articles of a consumable nature such as office supplies.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Equipment</w:t>
      </w:r>
      <w:r w:rsidRPr="00FE5A18">
        <w:rPr>
          <w:rFonts w:ascii="Times New Roman" w:hAnsi="Times New Roman"/>
          <w:sz w:val="20"/>
        </w:rPr>
        <w:t xml:space="preserve"> – Purchases over $100 for tangible personal property such as office furniture and equipment.</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Telecommunications</w:t>
      </w:r>
      <w:r w:rsidRPr="00FE5A18">
        <w:rPr>
          <w:rFonts w:ascii="Times New Roman" w:hAnsi="Times New Roman"/>
          <w:sz w:val="20"/>
        </w:rPr>
        <w:t xml:space="preserve"> – All telephone and telecommunication services such as long distance charges, cell phone charges, fax machine charges and local telephone charges.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Operation of Automotive Equipment</w:t>
      </w:r>
      <w:r w:rsidRPr="00FE5A18">
        <w:rPr>
          <w:rFonts w:ascii="Times New Roman" w:hAnsi="Times New Roman"/>
          <w:sz w:val="20"/>
        </w:rPr>
        <w:t xml:space="preserve"> – Operation, maintenance and repair of automotive equipment.</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lastRenderedPageBreak/>
        <w:t>Awards and Grants</w:t>
      </w:r>
      <w:r w:rsidRPr="00FE5A18">
        <w:rPr>
          <w:rFonts w:ascii="Times New Roman" w:hAnsi="Times New Roman"/>
          <w:sz w:val="20"/>
        </w:rPr>
        <w:t xml:space="preserve"> – Most commonly used for awards and grants to students.  The largest expenditure for Illinois State University in this object is for Presidential Scholars.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Permanent Improvements</w:t>
      </w:r>
      <w:r w:rsidRPr="00FE5A18">
        <w:rPr>
          <w:rFonts w:ascii="Times New Roman" w:hAnsi="Times New Roman"/>
          <w:sz w:val="20"/>
        </w:rPr>
        <w:t xml:space="preserve"> – Remodeling and renovation of existing structures.</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Debt Retirement</w:t>
      </w:r>
      <w:r w:rsidRPr="00FE5A18">
        <w:rPr>
          <w:rFonts w:ascii="Times New Roman" w:hAnsi="Times New Roman"/>
          <w:sz w:val="20"/>
        </w:rPr>
        <w:t xml:space="preserve"> – Payments for annual principal and interest on bonds and certificates of participation.</w:t>
      </w:r>
    </w:p>
    <w:p w:rsidR="00FE5A18" w:rsidRPr="00FE5A18" w:rsidRDefault="00FE5A18" w:rsidP="00FE5A18">
      <w:pPr>
        <w:spacing w:before="240"/>
        <w:outlineLvl w:val="0"/>
        <w:rPr>
          <w:rFonts w:ascii="Times New Roman" w:hAnsi="Times New Roman"/>
          <w:sz w:val="20"/>
        </w:rPr>
      </w:pPr>
      <w:r w:rsidRPr="00FE5A18">
        <w:rPr>
          <w:rFonts w:ascii="Times New Roman" w:hAnsi="Times New Roman"/>
          <w:b/>
          <w:sz w:val="20"/>
          <w:u w:val="single"/>
        </w:rPr>
        <w:t>General Services Overhead</w:t>
      </w:r>
      <w:r w:rsidRPr="00FE5A18">
        <w:rPr>
          <w:rFonts w:ascii="Times New Roman" w:hAnsi="Times New Roman"/>
          <w:sz w:val="20"/>
        </w:rPr>
        <w:t xml:space="preserve"> – Payment for use of administrative services outside the immediate operation of the unit.  For example, the comptroller’s area, which is supported by general revenue funds, performs accounting functions for all areas on campus; therefore, the non-appropriated units pay a portion of their expenses.  </w:t>
      </w:r>
    </w:p>
    <w:p w:rsidR="00FE5A18" w:rsidRPr="00FE5A18" w:rsidRDefault="00FE5A18" w:rsidP="00FE5A18">
      <w:pPr>
        <w:outlineLvl w:val="0"/>
        <w:rPr>
          <w:rFonts w:ascii="Times New Roman" w:hAnsi="Times New Roman"/>
          <w:sz w:val="20"/>
        </w:rPr>
      </w:pPr>
    </w:p>
    <w:p w:rsidR="00FE5A18" w:rsidRPr="00FE5A18" w:rsidRDefault="00FE5A18" w:rsidP="00FE5A18">
      <w:pPr>
        <w:spacing w:before="240"/>
        <w:outlineLvl w:val="0"/>
        <w:rPr>
          <w:rFonts w:ascii="Times New Roman" w:hAnsi="Times New Roman"/>
          <w:sz w:val="20"/>
          <w:highlight w:val="lightGray"/>
        </w:rPr>
      </w:pPr>
    </w:p>
    <w:p w:rsidR="00FE5A18" w:rsidRPr="00FE5A18" w:rsidRDefault="00FE5A18" w:rsidP="00FE5A18">
      <w:pPr>
        <w:tabs>
          <w:tab w:val="left" w:pos="360"/>
        </w:tabs>
        <w:ind w:right="-810"/>
        <w:jc w:val="both"/>
        <w:rPr>
          <w:rFonts w:ascii="Times New Roman" w:hAnsi="Times New Roman"/>
          <w:sz w:val="20"/>
          <w:u w:val="single"/>
        </w:rPr>
      </w:pPr>
    </w:p>
    <w:sectPr w:rsidR="00FE5A18" w:rsidRPr="00FE5A18" w:rsidSect="00F008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18" w:rsidRPr="00FE5A18" w:rsidRDefault="00FE5A18" w:rsidP="00FE5A18">
    <w:pPr>
      <w:pStyle w:val="Footer"/>
      <w:rPr>
        <w:rFonts w:ascii="Times New Roman" w:hAnsi="Times New Roman"/>
        <w:sz w:val="20"/>
      </w:rPr>
    </w:pPr>
    <w:r w:rsidRPr="00FE5A18">
      <w:rPr>
        <w:rFonts w:ascii="Times New Roman" w:hAnsi="Times New Roman"/>
        <w:sz w:val="20"/>
        <w:u w:val="single"/>
      </w:rPr>
      <w:t xml:space="preserve">Board of Trustees Illinois State University – FY 2016 Operating Budget          </w:t>
    </w:r>
    <w:r>
      <w:rPr>
        <w:rFonts w:ascii="Times New Roman" w:hAnsi="Times New Roman"/>
        <w:sz w:val="20"/>
        <w:u w:val="single"/>
      </w:rPr>
      <w:t xml:space="preserve">                                         </w:t>
    </w:r>
    <w:bookmarkStart w:id="0" w:name="_GoBack"/>
    <w:bookmarkEnd w:id="0"/>
    <w:r w:rsidRPr="00FE5A18">
      <w:rPr>
        <w:rFonts w:ascii="Times New Roman" w:hAnsi="Times New Roman"/>
        <w:sz w:val="20"/>
        <w:u w:val="single"/>
      </w:rPr>
      <w:t xml:space="preserve">        Page </w:t>
    </w:r>
    <w:sdt>
      <w:sdtPr>
        <w:rPr>
          <w:rFonts w:ascii="Times New Roman" w:hAnsi="Times New Roman"/>
          <w:sz w:val="20"/>
          <w:u w:val="single"/>
        </w:rPr>
        <w:id w:val="-427193936"/>
        <w:docPartObj>
          <w:docPartGallery w:val="Page Numbers (Bottom of Page)"/>
          <w:docPartUnique/>
        </w:docPartObj>
      </w:sdtPr>
      <w:sdtEndPr>
        <w:rPr>
          <w:noProof/>
          <w:u w:val="none"/>
        </w:rPr>
      </w:sdtEndPr>
      <w:sdtContent>
        <w:r w:rsidRPr="00FE5A18">
          <w:rPr>
            <w:rFonts w:ascii="Times New Roman" w:hAnsi="Times New Roman"/>
            <w:sz w:val="20"/>
            <w:u w:val="single"/>
          </w:rPr>
          <w:fldChar w:fldCharType="begin"/>
        </w:r>
        <w:r w:rsidRPr="00FE5A18">
          <w:rPr>
            <w:rFonts w:ascii="Times New Roman" w:hAnsi="Times New Roman"/>
            <w:sz w:val="20"/>
            <w:u w:val="single"/>
          </w:rPr>
          <w:instrText xml:space="preserve"> PAGE   \* MERGEFORMAT </w:instrText>
        </w:r>
        <w:r w:rsidRPr="00FE5A18">
          <w:rPr>
            <w:rFonts w:ascii="Times New Roman" w:hAnsi="Times New Roman"/>
            <w:sz w:val="20"/>
            <w:u w:val="single"/>
          </w:rPr>
          <w:fldChar w:fldCharType="separate"/>
        </w:r>
        <w:r>
          <w:rPr>
            <w:rFonts w:ascii="Times New Roman" w:hAnsi="Times New Roman"/>
            <w:noProof/>
            <w:sz w:val="20"/>
            <w:u w:val="single"/>
          </w:rPr>
          <w:t>2</w:t>
        </w:r>
        <w:r w:rsidRPr="00FE5A18">
          <w:rPr>
            <w:rFonts w:ascii="Times New Roman" w:hAnsi="Times New Roman"/>
            <w:noProof/>
            <w:sz w:val="20"/>
            <w:u w:val="single"/>
          </w:rPr>
          <w:fldChar w:fldCharType="end"/>
        </w:r>
        <w:r w:rsidRPr="00FE5A18">
          <w:rPr>
            <w:rFonts w:ascii="Times New Roman" w:hAnsi="Times New Roman"/>
            <w:noProof/>
            <w:sz w:val="20"/>
            <w:u w:val="single"/>
          </w:rPr>
          <w:br/>
        </w:r>
        <w:r w:rsidRPr="00FE5A18">
          <w:rPr>
            <w:rFonts w:ascii="Times New Roman" w:hAnsi="Times New Roman"/>
            <w:noProof/>
            <w:sz w:val="20"/>
          </w:rPr>
          <w:t>10/23/2015</w:t>
        </w:r>
      </w:sdtContent>
    </w:sdt>
  </w:p>
  <w:p w:rsidR="00917CAD" w:rsidRPr="00771F46" w:rsidRDefault="00917CAD" w:rsidP="00F008E8">
    <w:pPr>
      <w:pStyle w:val="Footer"/>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 w:id="1">
    <w:p w:rsidR="00FE5A18" w:rsidRDefault="00FE5A18" w:rsidP="00FE5A18">
      <w:pPr>
        <w:pStyle w:val="FootnoteText"/>
      </w:pPr>
      <w:r>
        <w:rPr>
          <w:rStyle w:val="FootnoteReference"/>
        </w:rPr>
        <w:footnoteRef/>
      </w:r>
      <w:r>
        <w:t xml:space="preserve"> As of June 30,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46" w:rsidRDefault="00771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E6555"/>
    <w:multiLevelType w:val="hybridMultilevel"/>
    <w:tmpl w:val="53C2A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306409"/>
    <w:multiLevelType w:val="hybridMultilevel"/>
    <w:tmpl w:val="FAA2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92B86"/>
    <w:rsid w:val="000E5056"/>
    <w:rsid w:val="000F0251"/>
    <w:rsid w:val="000F0CD6"/>
    <w:rsid w:val="001338A2"/>
    <w:rsid w:val="00167C03"/>
    <w:rsid w:val="00195A06"/>
    <w:rsid w:val="001B5D99"/>
    <w:rsid w:val="001C350C"/>
    <w:rsid w:val="001D50A7"/>
    <w:rsid w:val="001F5E04"/>
    <w:rsid w:val="00210C64"/>
    <w:rsid w:val="00266A66"/>
    <w:rsid w:val="00275A41"/>
    <w:rsid w:val="002E0561"/>
    <w:rsid w:val="00307AEA"/>
    <w:rsid w:val="003D06AF"/>
    <w:rsid w:val="003D1A17"/>
    <w:rsid w:val="003F3097"/>
    <w:rsid w:val="00447D5C"/>
    <w:rsid w:val="004625C4"/>
    <w:rsid w:val="00467123"/>
    <w:rsid w:val="0049192A"/>
    <w:rsid w:val="004B5929"/>
    <w:rsid w:val="004E5C61"/>
    <w:rsid w:val="004F2F88"/>
    <w:rsid w:val="00506FBD"/>
    <w:rsid w:val="005074E4"/>
    <w:rsid w:val="00515725"/>
    <w:rsid w:val="005267E3"/>
    <w:rsid w:val="0056203F"/>
    <w:rsid w:val="005C2FA5"/>
    <w:rsid w:val="005E4D37"/>
    <w:rsid w:val="005F53A2"/>
    <w:rsid w:val="00650757"/>
    <w:rsid w:val="00651E4A"/>
    <w:rsid w:val="00657D34"/>
    <w:rsid w:val="00687D23"/>
    <w:rsid w:val="006E10DC"/>
    <w:rsid w:val="006E5C7E"/>
    <w:rsid w:val="00731863"/>
    <w:rsid w:val="0075161E"/>
    <w:rsid w:val="00771F46"/>
    <w:rsid w:val="00794BCB"/>
    <w:rsid w:val="007A6922"/>
    <w:rsid w:val="007B6120"/>
    <w:rsid w:val="007F4BB9"/>
    <w:rsid w:val="00817E81"/>
    <w:rsid w:val="008622E5"/>
    <w:rsid w:val="0087104F"/>
    <w:rsid w:val="00892854"/>
    <w:rsid w:val="008B584D"/>
    <w:rsid w:val="008C662B"/>
    <w:rsid w:val="008D14F6"/>
    <w:rsid w:val="00917CAD"/>
    <w:rsid w:val="00956015"/>
    <w:rsid w:val="00966281"/>
    <w:rsid w:val="009814EE"/>
    <w:rsid w:val="009A11DC"/>
    <w:rsid w:val="009B5766"/>
    <w:rsid w:val="009E1DE2"/>
    <w:rsid w:val="00A2168B"/>
    <w:rsid w:val="00A272D1"/>
    <w:rsid w:val="00A305E4"/>
    <w:rsid w:val="00A51EB4"/>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F15D3"/>
    <w:rsid w:val="00E03098"/>
    <w:rsid w:val="00E0662C"/>
    <w:rsid w:val="00E43169"/>
    <w:rsid w:val="00E47429"/>
    <w:rsid w:val="00E53E1B"/>
    <w:rsid w:val="00E95BFF"/>
    <w:rsid w:val="00EC21E7"/>
    <w:rsid w:val="00EC6ED5"/>
    <w:rsid w:val="00F008E8"/>
    <w:rsid w:val="00F54DA2"/>
    <w:rsid w:val="00FA17DC"/>
    <w:rsid w:val="00FE1448"/>
    <w:rsid w:val="00FE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 w:type="paragraph" w:styleId="ListParagraph">
    <w:name w:val="List Paragraph"/>
    <w:basedOn w:val="Normal"/>
    <w:uiPriority w:val="34"/>
    <w:qFormat/>
    <w:rsid w:val="00FE5A18"/>
    <w:pPr>
      <w:overflowPunct/>
      <w:autoSpaceDE/>
      <w:autoSpaceDN/>
      <w:adjustRightInd/>
      <w:ind w:left="720"/>
      <w:contextualSpacing/>
      <w:textAlignment w:val="auto"/>
    </w:pPr>
    <w:rPr>
      <w:rFonts w:ascii="Times New Roman" w:hAnsi="Times New Roman"/>
      <w:sz w:val="20"/>
    </w:rPr>
  </w:style>
  <w:style w:type="paragraph" w:styleId="FootnoteText">
    <w:name w:val="footnote text"/>
    <w:basedOn w:val="Normal"/>
    <w:link w:val="FootnoteTextChar"/>
    <w:semiHidden/>
    <w:rsid w:val="00FE5A18"/>
    <w:pPr>
      <w:overflowPunct/>
      <w:autoSpaceDE/>
      <w:autoSpaceDN/>
      <w:adjustRightInd/>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FE5A18"/>
    <w:rPr>
      <w:rFonts w:eastAsia="Times New Roman"/>
    </w:rPr>
  </w:style>
  <w:style w:type="character" w:styleId="FootnoteReference">
    <w:name w:val="footnote reference"/>
    <w:basedOn w:val="DefaultParagraphFont"/>
    <w:semiHidden/>
    <w:rsid w:val="00FE5A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2</cp:revision>
  <cp:lastPrinted>2015-10-20T16:55:00Z</cp:lastPrinted>
  <dcterms:created xsi:type="dcterms:W3CDTF">2015-10-20T17:03:00Z</dcterms:created>
  <dcterms:modified xsi:type="dcterms:W3CDTF">2015-10-20T17:03:00Z</dcterms:modified>
</cp:coreProperties>
</file>