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CB00E" w14:textId="77777777" w:rsidR="00AD07E1" w:rsidRPr="00C67AB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smallCaps/>
        </w:rPr>
      </w:pPr>
    </w:p>
    <w:p w14:paraId="4D4ADB6F" w14:textId="77777777" w:rsidR="00AD07E1" w:rsidRPr="00C67AB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b/>
          <w:smallCaps/>
          <w:sz w:val="40"/>
        </w:rPr>
      </w:pPr>
      <w:r w:rsidRPr="00C67AB5">
        <w:rPr>
          <w:b/>
          <w:smallCaps/>
          <w:sz w:val="40"/>
        </w:rPr>
        <w:t>Illinois State</w:t>
      </w:r>
    </w:p>
    <w:p w14:paraId="4BD0FCB4" w14:textId="77777777" w:rsidR="00AD07E1" w:rsidRPr="00C67AB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b/>
          <w:smallCaps/>
          <w:sz w:val="32"/>
        </w:rPr>
      </w:pPr>
      <w:r w:rsidRPr="00C67AB5">
        <w:rPr>
          <w:b/>
          <w:smallCaps/>
          <w:sz w:val="32"/>
        </w:rPr>
        <w:t>University</w:t>
      </w:r>
    </w:p>
    <w:p w14:paraId="2B7B54E4" w14:textId="77777777" w:rsidR="00AD07E1" w:rsidRPr="00C67AB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smallCaps/>
        </w:rPr>
      </w:pPr>
    </w:p>
    <w:p w14:paraId="35747DF4" w14:textId="77777777" w:rsidR="00AD07E1" w:rsidRPr="00C67AB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smallCaps/>
        </w:rPr>
      </w:pPr>
    </w:p>
    <w:p w14:paraId="5110CC49" w14:textId="77777777" w:rsidR="00AD07E1" w:rsidRPr="00C67AB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smallCaps/>
        </w:rPr>
      </w:pPr>
    </w:p>
    <w:p w14:paraId="0C79F3C6" w14:textId="77777777" w:rsidR="00AD07E1" w:rsidRPr="00C67AB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smallCaps/>
        </w:rPr>
      </w:pPr>
    </w:p>
    <w:p w14:paraId="3D89B1F2" w14:textId="77777777" w:rsidR="00AD07E1" w:rsidRPr="00C67AB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rPr>
          <w:smallCaps/>
        </w:rPr>
      </w:pPr>
      <w:r>
        <w:rPr>
          <w:smallCaps/>
        </w:rPr>
        <w:t xml:space="preserve">                                  </w:t>
      </w:r>
    </w:p>
    <w:p w14:paraId="667C6189" w14:textId="77777777" w:rsidR="00AD07E1" w:rsidRPr="00C67AB5" w:rsidRDefault="00AD07E1" w:rsidP="00FC373D">
      <w:pPr>
        <w:pStyle w:val="Caption"/>
        <w:framePr w:h="4775" w:wrap="auto" w:x="8602" w:y="87"/>
        <w:shd w:val="clear" w:color="auto" w:fill="0C0C0C"/>
        <w:rPr>
          <w:rFonts w:ascii="Times New Roman" w:hAnsi="Times New Roman"/>
        </w:rPr>
      </w:pPr>
      <w:r w:rsidRPr="00C67AB5">
        <w:rPr>
          <w:rFonts w:ascii="Times New Roman" w:hAnsi="Times New Roman"/>
        </w:rPr>
        <w:t>Board of</w:t>
      </w:r>
    </w:p>
    <w:p w14:paraId="4CB6AFB1" w14:textId="77777777" w:rsidR="00AD07E1" w:rsidRPr="00C67AB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b/>
          <w:smallCaps/>
          <w:sz w:val="56"/>
        </w:rPr>
      </w:pPr>
      <w:r w:rsidRPr="00C67AB5">
        <w:rPr>
          <w:b/>
          <w:smallCaps/>
          <w:sz w:val="56"/>
        </w:rPr>
        <w:t>Trustees</w:t>
      </w:r>
    </w:p>
    <w:p w14:paraId="177EFADC" w14:textId="77777777" w:rsidR="00AD07E1"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smallCaps/>
        </w:rPr>
      </w:pPr>
    </w:p>
    <w:p w14:paraId="7D6A906D" w14:textId="77777777" w:rsidR="00AD07E1"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smallCaps/>
        </w:rPr>
      </w:pPr>
    </w:p>
    <w:p w14:paraId="7C33A2E0" w14:textId="77777777" w:rsidR="00AD07E1"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pPr>
    </w:p>
    <w:p w14:paraId="63FC6030" w14:textId="77777777" w:rsidR="00AD07E1" w:rsidRPr="00B14B3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smallCaps/>
        </w:rPr>
      </w:pPr>
    </w:p>
    <w:p w14:paraId="6402F22B" w14:textId="77777777" w:rsidR="00AD07E1" w:rsidRPr="00B14B3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smallCaps/>
        </w:rPr>
      </w:pPr>
    </w:p>
    <w:p w14:paraId="60114891" w14:textId="77777777" w:rsidR="00AD07E1" w:rsidRPr="00B14B3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pPr>
    </w:p>
    <w:p w14:paraId="1219C090" w14:textId="77777777" w:rsidR="00AD07E1" w:rsidRPr="00E6258B" w:rsidRDefault="00AD07E1" w:rsidP="00E6258B">
      <w:pPr>
        <w:ind w:right="450"/>
        <w:jc w:val="both"/>
      </w:pPr>
    </w:p>
    <w:p w14:paraId="0FAEB7A9" w14:textId="6473E5D3" w:rsidR="00AD07E1" w:rsidRDefault="00AD07E1" w:rsidP="00CB2CFA">
      <w:pPr>
        <w:tabs>
          <w:tab w:val="center" w:pos="8640"/>
        </w:tabs>
        <w:ind w:right="-720"/>
        <w:jc w:val="both"/>
      </w:pPr>
      <w:r>
        <w:tab/>
      </w:r>
    </w:p>
    <w:p w14:paraId="4D44CA9C" w14:textId="77777777" w:rsidR="00CB2CFA" w:rsidRDefault="00CB2CFA" w:rsidP="00CB2CFA">
      <w:pPr>
        <w:tabs>
          <w:tab w:val="center" w:pos="8640"/>
        </w:tabs>
        <w:ind w:right="-720"/>
        <w:jc w:val="both"/>
      </w:pPr>
    </w:p>
    <w:p w14:paraId="631D9F48" w14:textId="77777777" w:rsidR="00CB2CFA" w:rsidRDefault="00CB2CFA" w:rsidP="00CB2CFA">
      <w:pPr>
        <w:tabs>
          <w:tab w:val="center" w:pos="8640"/>
        </w:tabs>
        <w:ind w:right="-720"/>
        <w:jc w:val="both"/>
      </w:pPr>
    </w:p>
    <w:p w14:paraId="02747A7B" w14:textId="77777777" w:rsidR="00CB2CFA" w:rsidRDefault="00CB2CFA" w:rsidP="00CB2CFA">
      <w:pPr>
        <w:tabs>
          <w:tab w:val="center" w:pos="8640"/>
        </w:tabs>
        <w:ind w:right="-720"/>
        <w:jc w:val="both"/>
      </w:pPr>
    </w:p>
    <w:p w14:paraId="498B74AF" w14:textId="77777777" w:rsidR="00CB2CFA" w:rsidRDefault="00CB2CFA" w:rsidP="00CB2CFA">
      <w:pPr>
        <w:tabs>
          <w:tab w:val="center" w:pos="8640"/>
        </w:tabs>
        <w:ind w:right="-720"/>
        <w:jc w:val="both"/>
        <w:rPr>
          <w:b/>
          <w:bCs/>
        </w:rPr>
      </w:pPr>
    </w:p>
    <w:p w14:paraId="3CC88145" w14:textId="77777777" w:rsidR="00AD07E1" w:rsidRDefault="00AD07E1" w:rsidP="00E6258B">
      <w:pPr>
        <w:tabs>
          <w:tab w:val="center" w:pos="8640"/>
        </w:tabs>
        <w:ind w:right="-720"/>
        <w:jc w:val="both"/>
        <w:rPr>
          <w:b/>
          <w:bCs/>
        </w:rPr>
      </w:pPr>
    </w:p>
    <w:p w14:paraId="73141AB7" w14:textId="77777777" w:rsidR="00AD07E1" w:rsidRDefault="00AD07E1" w:rsidP="00E6258B">
      <w:pPr>
        <w:tabs>
          <w:tab w:val="center" w:pos="8640"/>
        </w:tabs>
        <w:ind w:right="-720"/>
        <w:jc w:val="both"/>
        <w:rPr>
          <w:b/>
          <w:bCs/>
        </w:rPr>
      </w:pPr>
    </w:p>
    <w:p w14:paraId="6551D8D6" w14:textId="77777777" w:rsidR="00AD07E1" w:rsidRDefault="00AD07E1" w:rsidP="00E6258B">
      <w:pPr>
        <w:tabs>
          <w:tab w:val="center" w:pos="8640"/>
        </w:tabs>
        <w:ind w:right="-720"/>
        <w:jc w:val="both"/>
        <w:rPr>
          <w:b/>
          <w:bCs/>
        </w:rPr>
      </w:pPr>
    </w:p>
    <w:p w14:paraId="0FF87B69" w14:textId="77777777" w:rsidR="00AD07E1" w:rsidRDefault="00AD07E1" w:rsidP="00E6258B">
      <w:pPr>
        <w:tabs>
          <w:tab w:val="center" w:pos="8640"/>
        </w:tabs>
        <w:ind w:right="-720"/>
        <w:jc w:val="both"/>
        <w:rPr>
          <w:b/>
          <w:bCs/>
        </w:rPr>
      </w:pPr>
    </w:p>
    <w:p w14:paraId="4AA333AD" w14:textId="77777777" w:rsidR="00AD07E1" w:rsidRDefault="00AD07E1" w:rsidP="00E6258B">
      <w:pPr>
        <w:tabs>
          <w:tab w:val="center" w:pos="8640"/>
        </w:tabs>
        <w:ind w:right="-720"/>
        <w:jc w:val="both"/>
        <w:rPr>
          <w:b/>
          <w:bCs/>
        </w:rPr>
      </w:pPr>
    </w:p>
    <w:p w14:paraId="72024717" w14:textId="77777777" w:rsidR="00AD07E1" w:rsidRDefault="00AD07E1" w:rsidP="00E6258B">
      <w:pPr>
        <w:tabs>
          <w:tab w:val="center" w:pos="8640"/>
        </w:tabs>
        <w:ind w:right="-720"/>
        <w:jc w:val="both"/>
        <w:rPr>
          <w:b/>
          <w:bCs/>
        </w:rPr>
      </w:pPr>
    </w:p>
    <w:p w14:paraId="5C6E35FD" w14:textId="77777777" w:rsidR="00AD07E1" w:rsidRDefault="00AD07E1" w:rsidP="00E6258B">
      <w:pPr>
        <w:tabs>
          <w:tab w:val="center" w:pos="8640"/>
        </w:tabs>
        <w:ind w:right="-720"/>
        <w:jc w:val="both"/>
        <w:rPr>
          <w:b/>
          <w:bCs/>
        </w:rPr>
      </w:pPr>
    </w:p>
    <w:p w14:paraId="0B1A15D6" w14:textId="77777777" w:rsidR="00AD07E1" w:rsidRDefault="00AD07E1" w:rsidP="00E6258B">
      <w:pPr>
        <w:tabs>
          <w:tab w:val="center" w:pos="8640"/>
        </w:tabs>
        <w:ind w:right="-720"/>
        <w:jc w:val="both"/>
        <w:rPr>
          <w:b/>
          <w:bCs/>
        </w:rPr>
      </w:pPr>
    </w:p>
    <w:p w14:paraId="02C46DF1" w14:textId="77777777" w:rsidR="00AD07E1" w:rsidRDefault="00AD07E1" w:rsidP="00E6258B">
      <w:pPr>
        <w:tabs>
          <w:tab w:val="center" w:pos="8640"/>
        </w:tabs>
        <w:ind w:right="-720"/>
        <w:jc w:val="both"/>
        <w:rPr>
          <w:b/>
          <w:bCs/>
        </w:rPr>
      </w:pPr>
    </w:p>
    <w:p w14:paraId="44BA56B2" w14:textId="77777777" w:rsidR="00AD07E1" w:rsidRDefault="00AD07E1" w:rsidP="00E6258B">
      <w:pPr>
        <w:tabs>
          <w:tab w:val="center" w:pos="8640"/>
        </w:tabs>
        <w:ind w:right="-720"/>
        <w:jc w:val="both"/>
        <w:rPr>
          <w:b/>
          <w:bCs/>
        </w:rPr>
      </w:pPr>
    </w:p>
    <w:p w14:paraId="3B9CC195" w14:textId="77777777" w:rsidR="00AD07E1" w:rsidRDefault="00AD07E1" w:rsidP="00E6258B">
      <w:pPr>
        <w:tabs>
          <w:tab w:val="center" w:pos="8640"/>
        </w:tabs>
        <w:ind w:right="-720"/>
        <w:jc w:val="both"/>
        <w:rPr>
          <w:b/>
          <w:bCs/>
        </w:rPr>
      </w:pPr>
    </w:p>
    <w:p w14:paraId="07BB5696" w14:textId="77777777" w:rsidR="00AD07E1" w:rsidRDefault="00AD07E1" w:rsidP="00E6258B">
      <w:pPr>
        <w:tabs>
          <w:tab w:val="center" w:pos="8640"/>
        </w:tabs>
        <w:ind w:right="-720"/>
        <w:jc w:val="both"/>
        <w:rPr>
          <w:b/>
          <w:bCs/>
        </w:rPr>
      </w:pPr>
    </w:p>
    <w:p w14:paraId="38F569B9" w14:textId="77777777" w:rsidR="00AD07E1" w:rsidRDefault="00AD07E1" w:rsidP="00E6258B">
      <w:pPr>
        <w:tabs>
          <w:tab w:val="center" w:pos="8640"/>
        </w:tabs>
        <w:ind w:right="-720"/>
        <w:jc w:val="both"/>
        <w:rPr>
          <w:b/>
          <w:bCs/>
        </w:rPr>
      </w:pPr>
    </w:p>
    <w:p w14:paraId="39E59EA5" w14:textId="77777777" w:rsidR="00AD07E1" w:rsidRDefault="00AD07E1" w:rsidP="00E6258B">
      <w:pPr>
        <w:tabs>
          <w:tab w:val="center" w:pos="8640"/>
        </w:tabs>
        <w:ind w:right="-720"/>
        <w:jc w:val="both"/>
        <w:rPr>
          <w:b/>
          <w:bCs/>
        </w:rPr>
      </w:pPr>
    </w:p>
    <w:p w14:paraId="390401E0" w14:textId="77777777" w:rsidR="00AD07E1" w:rsidRDefault="00AD07E1" w:rsidP="00E6258B">
      <w:pPr>
        <w:tabs>
          <w:tab w:val="center" w:pos="8640"/>
        </w:tabs>
        <w:ind w:right="-720"/>
        <w:jc w:val="both"/>
        <w:rPr>
          <w:b/>
          <w:bCs/>
        </w:rPr>
      </w:pPr>
    </w:p>
    <w:p w14:paraId="69C8B15C" w14:textId="77777777" w:rsidR="00AD07E1" w:rsidRDefault="00AD07E1" w:rsidP="00E6258B">
      <w:pPr>
        <w:tabs>
          <w:tab w:val="center" w:pos="8640"/>
        </w:tabs>
        <w:ind w:right="-720"/>
        <w:jc w:val="both"/>
        <w:rPr>
          <w:b/>
          <w:bCs/>
        </w:rPr>
      </w:pPr>
    </w:p>
    <w:p w14:paraId="5348FF19" w14:textId="2804D469" w:rsidR="00AD07E1" w:rsidRPr="0072768C" w:rsidRDefault="00AD07E1" w:rsidP="00E67F03">
      <w:pPr>
        <w:tabs>
          <w:tab w:val="center" w:pos="8640"/>
        </w:tabs>
        <w:ind w:right="-720"/>
        <w:jc w:val="both"/>
        <w:rPr>
          <w:b/>
          <w:bCs/>
          <w:color w:val="FF0000"/>
          <w:u w:val="single"/>
        </w:rPr>
      </w:pPr>
      <w:r w:rsidRPr="00E67F03">
        <w:rPr>
          <w:b/>
          <w:bCs/>
        </w:rPr>
        <w:tab/>
      </w:r>
      <w:r w:rsidR="00CE614A" w:rsidRPr="000A39DE">
        <w:rPr>
          <w:b/>
          <w:bCs/>
          <w:u w:val="single"/>
        </w:rPr>
        <w:t>Resolution No</w:t>
      </w:r>
      <w:r w:rsidR="00CE614A" w:rsidRPr="00892EA7">
        <w:rPr>
          <w:b/>
          <w:bCs/>
          <w:u w:val="single"/>
        </w:rPr>
        <w:t>.</w:t>
      </w:r>
      <w:r w:rsidR="000A39DE" w:rsidRPr="00892EA7">
        <w:rPr>
          <w:b/>
          <w:bCs/>
          <w:u w:val="single"/>
        </w:rPr>
        <w:t xml:space="preserve"> 201</w:t>
      </w:r>
      <w:r w:rsidR="003E19FC" w:rsidRPr="00892EA7">
        <w:rPr>
          <w:b/>
          <w:bCs/>
          <w:u w:val="single"/>
        </w:rPr>
        <w:t>5</w:t>
      </w:r>
      <w:r w:rsidR="004511E7" w:rsidRPr="00892EA7">
        <w:rPr>
          <w:b/>
          <w:bCs/>
          <w:u w:val="single"/>
        </w:rPr>
        <w:t>.0</w:t>
      </w:r>
      <w:r w:rsidR="003E19FC" w:rsidRPr="00892EA7">
        <w:rPr>
          <w:b/>
          <w:bCs/>
          <w:u w:val="single"/>
        </w:rPr>
        <w:t>5</w:t>
      </w:r>
      <w:r w:rsidR="00D80ADB" w:rsidRPr="00892EA7">
        <w:rPr>
          <w:b/>
          <w:bCs/>
          <w:u w:val="single"/>
        </w:rPr>
        <w:t>/</w:t>
      </w:r>
      <w:r w:rsidR="003E19FC">
        <w:rPr>
          <w:b/>
          <w:bCs/>
          <w:u w:val="single"/>
        </w:rPr>
        <w:t>19</w:t>
      </w:r>
    </w:p>
    <w:p w14:paraId="326F3268" w14:textId="725F9052" w:rsidR="00AD07E1" w:rsidRDefault="00AD07E1" w:rsidP="00E75A60">
      <w:pPr>
        <w:tabs>
          <w:tab w:val="center" w:pos="8550"/>
        </w:tabs>
        <w:ind w:right="-630"/>
        <w:rPr>
          <w:b/>
          <w:u w:val="single"/>
        </w:rPr>
      </w:pPr>
      <w:r>
        <w:rPr>
          <w:b/>
          <w:bCs/>
        </w:rPr>
        <w:tab/>
      </w:r>
      <w:r w:rsidR="00CB2CFA">
        <w:rPr>
          <w:b/>
          <w:u w:val="single"/>
        </w:rPr>
        <w:t>FY2016</w:t>
      </w:r>
      <w:r w:rsidR="00173F7A">
        <w:rPr>
          <w:b/>
          <w:u w:val="single"/>
        </w:rPr>
        <w:t xml:space="preserve"> </w:t>
      </w:r>
      <w:r w:rsidR="00483220">
        <w:rPr>
          <w:b/>
          <w:u w:val="single"/>
        </w:rPr>
        <w:t xml:space="preserve">Student </w:t>
      </w:r>
      <w:r>
        <w:rPr>
          <w:b/>
          <w:u w:val="single"/>
        </w:rPr>
        <w:t>Tuition, Fees and</w:t>
      </w:r>
    </w:p>
    <w:p w14:paraId="6EED8ED4" w14:textId="77777777" w:rsidR="00AD07E1" w:rsidRPr="00E75A60" w:rsidRDefault="00AD07E1" w:rsidP="00E75A60">
      <w:pPr>
        <w:tabs>
          <w:tab w:val="center" w:pos="8550"/>
        </w:tabs>
        <w:ind w:right="-630"/>
        <w:rPr>
          <w:b/>
          <w:u w:val="single"/>
        </w:rPr>
      </w:pPr>
      <w:r w:rsidRPr="00E75A60">
        <w:rPr>
          <w:b/>
        </w:rPr>
        <w:tab/>
      </w:r>
      <w:r>
        <w:rPr>
          <w:b/>
          <w:u w:val="single"/>
        </w:rPr>
        <w:t>Room and Board Rates</w:t>
      </w:r>
    </w:p>
    <w:p w14:paraId="2A8D4D0F" w14:textId="77777777" w:rsidR="00AD07E1" w:rsidRDefault="00AD07E1" w:rsidP="00E67F03">
      <w:pPr>
        <w:tabs>
          <w:tab w:val="center" w:pos="8640"/>
        </w:tabs>
        <w:ind w:right="-720"/>
        <w:jc w:val="both"/>
        <w:rPr>
          <w:b/>
          <w:bCs/>
        </w:rPr>
      </w:pPr>
      <w:r>
        <w:rPr>
          <w:b/>
        </w:rPr>
        <w:tab/>
      </w:r>
    </w:p>
    <w:p w14:paraId="09D1FD9D" w14:textId="77777777" w:rsidR="00AD07E1" w:rsidRDefault="00AD07E1" w:rsidP="00E6258B">
      <w:pPr>
        <w:tabs>
          <w:tab w:val="center" w:pos="8640"/>
        </w:tabs>
        <w:ind w:right="-720"/>
        <w:jc w:val="both"/>
        <w:rPr>
          <w:b/>
          <w:bCs/>
        </w:rPr>
      </w:pPr>
    </w:p>
    <w:p w14:paraId="57FB163F" w14:textId="77777777" w:rsidR="00AD07E1" w:rsidRDefault="00AD07E1" w:rsidP="00E6258B">
      <w:pPr>
        <w:tabs>
          <w:tab w:val="center" w:pos="8640"/>
        </w:tabs>
        <w:ind w:right="-720"/>
        <w:jc w:val="both"/>
        <w:rPr>
          <w:b/>
          <w:bCs/>
        </w:rPr>
      </w:pPr>
    </w:p>
    <w:p w14:paraId="56916127" w14:textId="77777777" w:rsidR="00AD07E1" w:rsidRDefault="00AD07E1" w:rsidP="00E6258B">
      <w:pPr>
        <w:pStyle w:val="Heading2"/>
        <w:rPr>
          <w:rFonts w:ascii="Times New Roman" w:hAnsi="Times New Roman"/>
        </w:rPr>
      </w:pPr>
      <w:r>
        <w:rPr>
          <w:rFonts w:ascii="Times New Roman" w:hAnsi="Times New Roman"/>
        </w:rPr>
        <w:t>Resolution</w:t>
      </w:r>
    </w:p>
    <w:p w14:paraId="2248EF16" w14:textId="77777777" w:rsidR="00AD07E1" w:rsidRDefault="00AD07E1" w:rsidP="00E6258B">
      <w:pPr>
        <w:widowControl w:val="0"/>
        <w:adjustRightInd w:val="0"/>
        <w:rPr>
          <w:b/>
          <w:bCs/>
        </w:rPr>
      </w:pPr>
    </w:p>
    <w:p w14:paraId="6308D144" w14:textId="77777777" w:rsidR="00AD07E1" w:rsidRDefault="00AD07E1" w:rsidP="00E6258B">
      <w:r>
        <w:t xml:space="preserve">Whereas, the Board of Trustees of Illinois State University has the authority to approve tuition, mandatory fees and room and board rates, and </w:t>
      </w:r>
    </w:p>
    <w:p w14:paraId="64511955" w14:textId="77777777" w:rsidR="00AD07E1" w:rsidRDefault="00AD07E1" w:rsidP="00E6258B"/>
    <w:p w14:paraId="1645C6D8" w14:textId="77777777" w:rsidR="00AD07E1" w:rsidRDefault="00AD07E1" w:rsidP="00E6258B">
      <w:r>
        <w:t xml:space="preserve">Whereas, the Board of Trustees of Illinois State University recognizes the </w:t>
      </w:r>
      <w:r w:rsidR="0082050E">
        <w:t xml:space="preserve">increasingly important role that revenue from tuition and fees </w:t>
      </w:r>
      <w:r>
        <w:t>play</w:t>
      </w:r>
      <w:r w:rsidR="0082050E">
        <w:t>s in ensuring educational excellence and innovation</w:t>
      </w:r>
      <w:r>
        <w:t xml:space="preserve">, and </w:t>
      </w:r>
    </w:p>
    <w:p w14:paraId="0DEA14B4" w14:textId="77777777" w:rsidR="00AD07E1" w:rsidRDefault="00AD07E1" w:rsidP="00E6258B"/>
    <w:p w14:paraId="6828F4C3" w14:textId="04ACBBE8" w:rsidR="00AD07E1" w:rsidRDefault="00AD07E1" w:rsidP="00E6258B">
      <w:r>
        <w:t xml:space="preserve">Whereas, the Board of Trustees of Illinois State University is committed to maintaining </w:t>
      </w:r>
      <w:r w:rsidR="00373DA9">
        <w:t xml:space="preserve">access to and </w:t>
      </w:r>
      <w:r>
        <w:t xml:space="preserve">affordability of its </w:t>
      </w:r>
      <w:r w:rsidR="001E40AE">
        <w:t xml:space="preserve">high quality </w:t>
      </w:r>
      <w:r>
        <w:t>programs</w:t>
      </w:r>
      <w:r w:rsidR="009636EA">
        <w:t>;</w:t>
      </w:r>
    </w:p>
    <w:p w14:paraId="0642BF99" w14:textId="77777777" w:rsidR="00AD07E1" w:rsidRDefault="00AD07E1" w:rsidP="00E6258B"/>
    <w:p w14:paraId="49BD137E" w14:textId="6F46BA27" w:rsidR="00AD07E1" w:rsidRPr="00464E04" w:rsidRDefault="00AD07E1" w:rsidP="00464E04">
      <w:r>
        <w:t>Therefore, be it resolved that the Board</w:t>
      </w:r>
      <w:r w:rsidR="002A38DD">
        <w:t xml:space="preserve"> of Trustees approves the F</w:t>
      </w:r>
      <w:r w:rsidR="00093111">
        <w:t>Y</w:t>
      </w:r>
      <w:bookmarkStart w:id="0" w:name="_GoBack"/>
      <w:bookmarkEnd w:id="0"/>
      <w:r w:rsidR="002A38DD">
        <w:t>201</w:t>
      </w:r>
      <w:r w:rsidR="00CB2CFA">
        <w:t>6</w:t>
      </w:r>
      <w:r>
        <w:t xml:space="preserve"> </w:t>
      </w:r>
      <w:r w:rsidR="0096518D">
        <w:t xml:space="preserve">student </w:t>
      </w:r>
      <w:r>
        <w:t>tuition, fees and room and board rates contained herein.</w:t>
      </w:r>
    </w:p>
    <w:p w14:paraId="56160520" w14:textId="77777777" w:rsidR="00AD07E1" w:rsidRDefault="00AD07E1" w:rsidP="00E6258B">
      <w:pPr>
        <w:ind w:right="-720"/>
        <w:rPr>
          <w:u w:val="single"/>
        </w:rPr>
      </w:pPr>
    </w:p>
    <w:p w14:paraId="25CF91BD" w14:textId="77777777" w:rsidR="00AD07E1" w:rsidRDefault="00AD07E1" w:rsidP="00E6258B">
      <w:pPr>
        <w:ind w:right="-720"/>
        <w:rPr>
          <w:u w:val="single"/>
        </w:rPr>
      </w:pPr>
    </w:p>
    <w:p w14:paraId="2716D5D4" w14:textId="77777777" w:rsidR="00AD07E1" w:rsidRDefault="00AD07E1" w:rsidP="00E6258B">
      <w:pPr>
        <w:ind w:righ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15FB83" w14:textId="77777777" w:rsidR="00AD07E1" w:rsidRDefault="00AD07E1" w:rsidP="00E6258B">
      <w:pPr>
        <w:tabs>
          <w:tab w:val="decimal" w:pos="270"/>
        </w:tabs>
        <w:ind w:right="-720"/>
      </w:pPr>
      <w:r>
        <w:tab/>
        <w:t>Board Action on:</w:t>
      </w:r>
      <w:r>
        <w:rPr>
          <w:u w:val="single"/>
        </w:rPr>
        <w:tab/>
      </w:r>
      <w:r>
        <w:rPr>
          <w:u w:val="single"/>
        </w:rPr>
        <w:tab/>
      </w:r>
      <w:r>
        <w:rPr>
          <w:u w:val="single"/>
        </w:rPr>
        <w:tab/>
      </w:r>
      <w:r>
        <w:rPr>
          <w:u w:val="single"/>
        </w:rPr>
        <w:tab/>
      </w:r>
      <w:r>
        <w:tab/>
      </w:r>
      <w:r>
        <w:tab/>
        <w:t>Postpone:</w:t>
      </w:r>
      <w:r>
        <w:rPr>
          <w:u w:val="single"/>
        </w:rPr>
        <w:tab/>
      </w:r>
      <w:r>
        <w:rPr>
          <w:u w:val="single"/>
        </w:rPr>
        <w:tab/>
      </w:r>
      <w:r>
        <w:rPr>
          <w:u w:val="single"/>
        </w:rPr>
        <w:tab/>
      </w:r>
      <w:r>
        <w:rPr>
          <w:u w:val="single"/>
        </w:rPr>
        <w:tab/>
      </w:r>
      <w:r>
        <w:rPr>
          <w:u w:val="single"/>
        </w:rPr>
        <w:tab/>
      </w:r>
    </w:p>
    <w:p w14:paraId="105E8DBC" w14:textId="77777777" w:rsidR="00AD07E1" w:rsidRDefault="00AD07E1" w:rsidP="00E6258B">
      <w:pPr>
        <w:tabs>
          <w:tab w:val="left" w:pos="360"/>
        </w:tabs>
        <w:ind w:left="-720" w:right="-720"/>
      </w:pPr>
      <w:r>
        <w:tab/>
        <w:t>Motion by:</w:t>
      </w:r>
      <w:r>
        <w:tab/>
      </w:r>
      <w:r>
        <w:rPr>
          <w:u w:val="single"/>
        </w:rPr>
        <w:tab/>
      </w:r>
      <w:r>
        <w:rPr>
          <w:u w:val="single"/>
        </w:rPr>
        <w:tab/>
      </w:r>
      <w:r>
        <w:rPr>
          <w:u w:val="single"/>
        </w:rPr>
        <w:tab/>
      </w:r>
      <w:r>
        <w:rPr>
          <w:u w:val="single"/>
        </w:rPr>
        <w:tab/>
      </w:r>
      <w:r>
        <w:tab/>
        <w:t>Amend:</w:t>
      </w:r>
      <w:r>
        <w:tab/>
      </w:r>
      <w:r>
        <w:rPr>
          <w:u w:val="single"/>
        </w:rPr>
        <w:tab/>
      </w:r>
      <w:r>
        <w:rPr>
          <w:u w:val="single"/>
        </w:rPr>
        <w:tab/>
      </w:r>
      <w:r>
        <w:rPr>
          <w:u w:val="single"/>
        </w:rPr>
        <w:tab/>
      </w:r>
      <w:r>
        <w:rPr>
          <w:u w:val="single"/>
        </w:rPr>
        <w:tab/>
      </w:r>
      <w:r>
        <w:rPr>
          <w:u w:val="single"/>
        </w:rPr>
        <w:tab/>
      </w:r>
    </w:p>
    <w:p w14:paraId="1670212B" w14:textId="77777777" w:rsidR="00AD07E1" w:rsidRDefault="00AD07E1" w:rsidP="00E6258B">
      <w:pPr>
        <w:tabs>
          <w:tab w:val="left" w:pos="360"/>
        </w:tabs>
        <w:ind w:left="-720" w:right="-720"/>
      </w:pPr>
      <w:r>
        <w:tab/>
        <w:t>Second by:</w:t>
      </w:r>
      <w:r>
        <w:tab/>
      </w:r>
      <w:r>
        <w:rPr>
          <w:u w:val="single"/>
        </w:rPr>
        <w:tab/>
      </w:r>
      <w:r>
        <w:rPr>
          <w:u w:val="single"/>
        </w:rPr>
        <w:tab/>
      </w:r>
      <w:r>
        <w:rPr>
          <w:u w:val="single"/>
        </w:rPr>
        <w:tab/>
      </w:r>
      <w:r>
        <w:rPr>
          <w:u w:val="single"/>
        </w:rPr>
        <w:tab/>
      </w:r>
      <w:r>
        <w:tab/>
        <w:t>Disapprove:</w:t>
      </w:r>
      <w:r>
        <w:rPr>
          <w:u w:val="single"/>
        </w:rPr>
        <w:tab/>
      </w:r>
      <w:r>
        <w:rPr>
          <w:u w:val="single"/>
        </w:rPr>
        <w:tab/>
      </w:r>
      <w:r>
        <w:rPr>
          <w:u w:val="single"/>
        </w:rPr>
        <w:tab/>
      </w:r>
      <w:r>
        <w:rPr>
          <w:u w:val="single"/>
        </w:rPr>
        <w:tab/>
      </w:r>
      <w:r>
        <w:rPr>
          <w:u w:val="single"/>
        </w:rPr>
        <w:tab/>
      </w:r>
    </w:p>
    <w:p w14:paraId="66B5271D" w14:textId="77777777" w:rsidR="00AD07E1" w:rsidRDefault="00AD07E1" w:rsidP="00E75A60">
      <w:pPr>
        <w:tabs>
          <w:tab w:val="left" w:pos="360"/>
        </w:tabs>
        <w:ind w:right="-810"/>
        <w:jc w:val="both"/>
        <w:rPr>
          <w:u w:val="single"/>
        </w:rPr>
      </w:pPr>
      <w:r>
        <w:tab/>
        <w:t>Vote:</w:t>
      </w:r>
      <w:r>
        <w:tab/>
        <w:t>Yeas:</w:t>
      </w:r>
      <w:r>
        <w:rPr>
          <w:u w:val="single"/>
        </w:rPr>
        <w:tab/>
      </w:r>
      <w:r>
        <w:rPr>
          <w:u w:val="single"/>
        </w:rPr>
        <w:tab/>
      </w:r>
      <w:r>
        <w:t>Nays:</w:t>
      </w:r>
      <w:r>
        <w:rPr>
          <w:u w:val="single"/>
        </w:rPr>
        <w:tab/>
      </w:r>
      <w:r>
        <w:rPr>
          <w:u w:val="single"/>
        </w:rPr>
        <w:tab/>
      </w:r>
      <w:r>
        <w:tab/>
        <w:t>Approve:</w:t>
      </w:r>
      <w:r>
        <w:rPr>
          <w:u w:val="single"/>
        </w:rPr>
        <w:tab/>
      </w:r>
      <w:r>
        <w:rPr>
          <w:u w:val="single"/>
        </w:rPr>
        <w:tab/>
      </w:r>
      <w:r>
        <w:rPr>
          <w:u w:val="single"/>
        </w:rPr>
        <w:tab/>
      </w:r>
      <w:r>
        <w:rPr>
          <w:u w:val="single"/>
        </w:rPr>
        <w:tab/>
      </w:r>
      <w:r>
        <w:rPr>
          <w:u w:val="single"/>
        </w:rPr>
        <w:tab/>
      </w:r>
    </w:p>
    <w:p w14:paraId="4EAA8217" w14:textId="77777777" w:rsidR="00AD07E1" w:rsidRDefault="00AD07E1" w:rsidP="00E75A60">
      <w:pPr>
        <w:tabs>
          <w:tab w:val="left" w:pos="360"/>
        </w:tabs>
        <w:ind w:right="-810"/>
        <w:jc w:val="both"/>
        <w:rPr>
          <w:u w:val="single"/>
        </w:rPr>
      </w:pPr>
    </w:p>
    <w:p w14:paraId="7E4D7E2C" w14:textId="2772F017" w:rsidR="00AD07E1" w:rsidRDefault="00AD07E1" w:rsidP="00E75A60">
      <w:pPr>
        <w:tabs>
          <w:tab w:val="left" w:pos="360"/>
        </w:tabs>
        <w:ind w:right="-810"/>
        <w:jc w:val="both"/>
        <w:rPr>
          <w:u w:val="single"/>
        </w:rPr>
      </w:pPr>
      <w:r>
        <w:tab/>
      </w:r>
      <w:r>
        <w:tab/>
      </w:r>
      <w:r>
        <w:tab/>
      </w:r>
      <w:r>
        <w:tab/>
      </w:r>
      <w:r>
        <w:tab/>
      </w:r>
      <w:r>
        <w:tab/>
        <w:t xml:space="preserve">  </w:t>
      </w:r>
      <w:r>
        <w:rPr>
          <w:szCs w:val="12"/>
        </w:rPr>
        <w:tab/>
      </w:r>
      <w:r>
        <w:rPr>
          <w:szCs w:val="12"/>
        </w:rPr>
        <w:tab/>
      </w:r>
      <w:r>
        <w:rPr>
          <w:szCs w:val="12"/>
        </w:rPr>
        <w:tab/>
        <w:t xml:space="preserve">         </w:t>
      </w:r>
      <w:r w:rsidR="00F5698E">
        <w:rPr>
          <w:u w:val="single"/>
        </w:rPr>
        <w:t>A</w:t>
      </w:r>
      <w:r w:rsidR="004511E7">
        <w:rPr>
          <w:u w:val="single"/>
        </w:rPr>
        <w:t>TTEST</w:t>
      </w:r>
      <w:r w:rsidR="004511E7" w:rsidRPr="00FB7167">
        <w:rPr>
          <w:u w:val="single"/>
        </w:rPr>
        <w:t xml:space="preserve">: </w:t>
      </w:r>
      <w:r w:rsidR="00A63EA8" w:rsidRPr="00892EA7">
        <w:rPr>
          <w:u w:val="single"/>
        </w:rPr>
        <w:t>Board Action, May 30, 2015</w:t>
      </w:r>
    </w:p>
    <w:p w14:paraId="7DEE6BAC" w14:textId="77777777" w:rsidR="00AD07E1" w:rsidRDefault="00AD07E1" w:rsidP="00E6258B">
      <w:pPr>
        <w:ind w:right="990"/>
        <w:jc w:val="right"/>
        <w:rPr>
          <w:u w:val="single"/>
        </w:rPr>
      </w:pPr>
      <w:r>
        <w:rPr>
          <w:u w:val="single"/>
        </w:rPr>
        <w:t xml:space="preserve">  </w:t>
      </w:r>
    </w:p>
    <w:p w14:paraId="3EA591E8" w14:textId="77777777" w:rsidR="00AD07E1" w:rsidRDefault="00AD07E1" w:rsidP="00E75A60">
      <w:pPr>
        <w:jc w:val="right"/>
        <w:rPr>
          <w:u w:val="single"/>
        </w:rPr>
      </w:pPr>
      <w:r>
        <w:rPr>
          <w:u w:val="single"/>
        </w:rPr>
        <w:t>_______________________________</w:t>
      </w:r>
    </w:p>
    <w:p w14:paraId="70DB44D3" w14:textId="77777777" w:rsidR="00AD07E1" w:rsidRDefault="00AD07E1" w:rsidP="00E75A60">
      <w:pPr>
        <w:pStyle w:val="Heading3"/>
        <w:rPr>
          <w:rFonts w:ascii="Times New Roman" w:hAnsi="Times New Roman"/>
          <w:u w:val="none"/>
        </w:rPr>
      </w:pPr>
      <w:r>
        <w:rPr>
          <w:rFonts w:ascii="Times New Roman" w:hAnsi="Times New Roman"/>
          <w:u w:val="none"/>
        </w:rPr>
        <w:t xml:space="preserve"> </w:t>
      </w:r>
      <w:r>
        <w:rPr>
          <w:rFonts w:ascii="Times New Roman" w:hAnsi="Times New Roman"/>
          <w:u w:val="none"/>
        </w:rPr>
        <w:tab/>
      </w:r>
      <w:r>
        <w:rPr>
          <w:rFonts w:ascii="Times New Roman" w:hAnsi="Times New Roman"/>
          <w:u w:val="none"/>
        </w:rPr>
        <w:tab/>
        <w:t xml:space="preserve">                            Secretary/Chairperson</w:t>
      </w:r>
    </w:p>
    <w:p w14:paraId="26EC40CC" w14:textId="77777777" w:rsidR="00AD07E1" w:rsidRDefault="00AD07E1" w:rsidP="00E6258B">
      <w:pPr>
        <w:tabs>
          <w:tab w:val="center" w:pos="8640"/>
        </w:tabs>
        <w:ind w:right="450"/>
        <w:jc w:val="both"/>
        <w:rPr>
          <w:b/>
          <w:bCs/>
          <w:u w:val="single"/>
        </w:rPr>
        <w:sectPr w:rsidR="00AD07E1" w:rsidSect="00C66A51">
          <w:pgSz w:w="12240" w:h="15840" w:code="1"/>
          <w:pgMar w:top="994" w:right="1440" w:bottom="720" w:left="1440" w:header="720" w:footer="720" w:gutter="0"/>
          <w:cols w:space="720"/>
          <w:rtlGutter/>
        </w:sectPr>
      </w:pPr>
    </w:p>
    <w:p w14:paraId="507EAC8C" w14:textId="77777777" w:rsidR="00AD07E1" w:rsidRDefault="00AD07E1">
      <w:pPr>
        <w:pStyle w:val="Title"/>
      </w:pPr>
      <w:r>
        <w:lastRenderedPageBreak/>
        <w:t>Board of Trustees</w:t>
      </w:r>
    </w:p>
    <w:p w14:paraId="26AE59EB" w14:textId="77777777" w:rsidR="00AD07E1" w:rsidRDefault="00AD07E1">
      <w:pPr>
        <w:jc w:val="center"/>
        <w:rPr>
          <w:b/>
        </w:rPr>
      </w:pPr>
      <w:r>
        <w:rPr>
          <w:b/>
        </w:rPr>
        <w:t>Illinois State University</w:t>
      </w:r>
    </w:p>
    <w:p w14:paraId="09BC44CC" w14:textId="7E96177B" w:rsidR="00AD07E1" w:rsidRDefault="001F65DD">
      <w:pPr>
        <w:jc w:val="center"/>
        <w:rPr>
          <w:b/>
        </w:rPr>
      </w:pPr>
      <w:r>
        <w:rPr>
          <w:b/>
        </w:rPr>
        <w:t>FY201</w:t>
      </w:r>
      <w:r w:rsidR="00CB2CFA">
        <w:rPr>
          <w:b/>
        </w:rPr>
        <w:t>6</w:t>
      </w:r>
      <w:r w:rsidR="00483220">
        <w:rPr>
          <w:b/>
        </w:rPr>
        <w:t xml:space="preserve"> Student </w:t>
      </w:r>
      <w:r w:rsidR="00AD07E1">
        <w:rPr>
          <w:b/>
        </w:rPr>
        <w:t>Tuition, Fees, and Room and Board Rates</w:t>
      </w:r>
    </w:p>
    <w:p w14:paraId="3595C70B" w14:textId="231BB0BF" w:rsidR="007B604D" w:rsidRDefault="007B2B64" w:rsidP="006712AB">
      <w:pPr>
        <w:spacing w:before="240"/>
      </w:pPr>
      <w:r>
        <w:t>Illinois State University is committed to excellence in highe</w:t>
      </w:r>
      <w:r w:rsidR="00920607">
        <w:t xml:space="preserve">r education, as evidenced by the University’s </w:t>
      </w:r>
      <w:r>
        <w:t xml:space="preserve">placement in the top </w:t>
      </w:r>
      <w:r w:rsidR="00CB2CFA">
        <w:t>75</w:t>
      </w:r>
      <w:r>
        <w:t xml:space="preserve"> public universities in the country</w:t>
      </w:r>
      <w:r w:rsidR="004064AB">
        <w:t xml:space="preserve"> </w:t>
      </w:r>
      <w:r>
        <w:t xml:space="preserve">by </w:t>
      </w:r>
      <w:r w:rsidRPr="001874CA">
        <w:rPr>
          <w:i/>
        </w:rPr>
        <w:t>U.S. News and World Report’s</w:t>
      </w:r>
      <w:r>
        <w:t xml:space="preserve"> Guid</w:t>
      </w:r>
      <w:r w:rsidR="00A97D6F">
        <w:t>e to Colleges and Universities.  It is also recognized nationally as a good value as</w:t>
      </w:r>
      <w:r w:rsidR="00847CA5">
        <w:t xml:space="preserve"> reflected in </w:t>
      </w:r>
      <w:r w:rsidR="00A97D6F">
        <w:t xml:space="preserve"> </w:t>
      </w:r>
      <w:r w:rsidR="00847CA5">
        <w:rPr>
          <w:i/>
        </w:rPr>
        <w:t>Kiplinger’s Personal Finance</w:t>
      </w:r>
      <w:r w:rsidR="00C5269E">
        <w:rPr>
          <w:i/>
        </w:rPr>
        <w:t>,</w:t>
      </w:r>
      <w:r w:rsidR="00847CA5">
        <w:rPr>
          <w:i/>
        </w:rPr>
        <w:t xml:space="preserve"> </w:t>
      </w:r>
      <w:r w:rsidR="00847CA5">
        <w:t>which ranks the University in the to</w:t>
      </w:r>
      <w:r w:rsidR="00C5269E">
        <w:t xml:space="preserve">p 100 best values in the nation and </w:t>
      </w:r>
      <w:r w:rsidR="00C5269E">
        <w:rPr>
          <w:i/>
        </w:rPr>
        <w:t xml:space="preserve">Money </w:t>
      </w:r>
      <w:r w:rsidR="00C5269E">
        <w:t xml:space="preserve">magazine, which has rated the University as one of “The 25 Colleges That Add the Most Value.” </w:t>
      </w:r>
      <w:r w:rsidR="007B604D">
        <w:t>In addition, t</w:t>
      </w:r>
      <w:r>
        <w:t xml:space="preserve">he University </w:t>
      </w:r>
      <w:r w:rsidR="00920607">
        <w:t>strives to maintain student accessibilit</w:t>
      </w:r>
      <w:r>
        <w:t>y despi</w:t>
      </w:r>
      <w:r w:rsidR="00920607">
        <w:t xml:space="preserve">te the </w:t>
      </w:r>
      <w:r w:rsidR="00A97D6F">
        <w:t>difficult</w:t>
      </w:r>
      <w:r w:rsidR="00964CC2">
        <w:t xml:space="preserve"> economic environment of the State of</w:t>
      </w:r>
      <w:r>
        <w:t xml:space="preserve"> </w:t>
      </w:r>
      <w:r w:rsidR="00920607">
        <w:t xml:space="preserve">Illinois and a </w:t>
      </w:r>
      <w:r>
        <w:t>cont</w:t>
      </w:r>
      <w:r w:rsidR="007B604D">
        <w:t xml:space="preserve">inued decline in state funding.  </w:t>
      </w:r>
      <w:r w:rsidR="00A97D6F">
        <w:t>I</w:t>
      </w:r>
      <w:r w:rsidR="00964CC2">
        <w:t>n FY201</w:t>
      </w:r>
      <w:r w:rsidR="00CB2CFA">
        <w:t>5</w:t>
      </w:r>
      <w:r w:rsidR="00964CC2">
        <w:t>, the University</w:t>
      </w:r>
      <w:r w:rsidR="003B5062">
        <w:t xml:space="preserve"> committed $1</w:t>
      </w:r>
      <w:r w:rsidR="00CB2CFA">
        <w:t>2</w:t>
      </w:r>
      <w:r w:rsidR="003B5062">
        <w:t xml:space="preserve"> million to </w:t>
      </w:r>
      <w:r w:rsidR="00DB31FA">
        <w:t>supplement</w:t>
      </w:r>
      <w:r w:rsidR="00A97D6F">
        <w:t xml:space="preserve"> </w:t>
      </w:r>
      <w:r w:rsidR="003B5062">
        <w:t xml:space="preserve">shortages in state </w:t>
      </w:r>
      <w:r w:rsidR="006F04B2">
        <w:t>Monetary</w:t>
      </w:r>
      <w:r w:rsidR="007D7F97">
        <w:t xml:space="preserve"> </w:t>
      </w:r>
      <w:r w:rsidR="003B5062">
        <w:t>A</w:t>
      </w:r>
      <w:r w:rsidR="007D7F97">
        <w:t xml:space="preserve">ward </w:t>
      </w:r>
      <w:r w:rsidR="003B5062">
        <w:t>P</w:t>
      </w:r>
      <w:r w:rsidR="007D7F97">
        <w:t>rogram (MAP)</w:t>
      </w:r>
      <w:r w:rsidR="003B5062">
        <w:t xml:space="preserve"> grant</w:t>
      </w:r>
      <w:r w:rsidR="007D7F97">
        <w:t xml:space="preserve"> funding</w:t>
      </w:r>
      <w:r w:rsidR="003B5062">
        <w:t>.</w:t>
      </w:r>
    </w:p>
    <w:p w14:paraId="1F6E358B" w14:textId="4C8ABAB8" w:rsidR="004B7F52" w:rsidRDefault="00D539A5" w:rsidP="006712AB">
      <w:pPr>
        <w:spacing w:before="240"/>
      </w:pPr>
      <w:r>
        <w:t xml:space="preserve">Mindful of </w:t>
      </w:r>
      <w:r w:rsidR="004064AB">
        <w:t xml:space="preserve">student </w:t>
      </w:r>
      <w:r>
        <w:t>affordability</w:t>
      </w:r>
      <w:r w:rsidR="009907F4">
        <w:t>, a moderate 1.6</w:t>
      </w:r>
      <w:r w:rsidR="004064AB">
        <w:t xml:space="preserve"> percent total cost increase for on-campus</w:t>
      </w:r>
      <w:r>
        <w:t xml:space="preserve"> undergraduate students</w:t>
      </w:r>
      <w:r w:rsidR="004064AB">
        <w:t xml:space="preserve"> is propose</w:t>
      </w:r>
      <w:r w:rsidR="00C95407">
        <w:t>d. This increase represents a 3</w:t>
      </w:r>
      <w:r w:rsidR="009907F4">
        <w:t>.0</w:t>
      </w:r>
      <w:r w:rsidR="004064AB">
        <w:t xml:space="preserve"> percent increase for tuition, a 1.0 percent increase in mandatory fees, no increase for housing and no increase for dining.</w:t>
      </w:r>
    </w:p>
    <w:p w14:paraId="3E43B039" w14:textId="77777777" w:rsidR="00AD07E1" w:rsidRPr="00847CA5" w:rsidRDefault="00AD07E1" w:rsidP="000531CE">
      <w:pPr>
        <w:spacing w:before="240"/>
        <w:jc w:val="center"/>
        <w:rPr>
          <w:i/>
        </w:rPr>
      </w:pPr>
      <w:r>
        <w:t>Undergraduate Tuition</w:t>
      </w:r>
    </w:p>
    <w:p w14:paraId="7ECC73A3" w14:textId="40258818" w:rsidR="00D539A5" w:rsidRPr="006712AB" w:rsidRDefault="00D539A5" w:rsidP="00D539A5">
      <w:pPr>
        <w:spacing w:before="240"/>
      </w:pPr>
      <w:r w:rsidRPr="004064AB">
        <w:t xml:space="preserve">In order to maintain education quality in the face of </w:t>
      </w:r>
      <w:r w:rsidR="004064AB" w:rsidRPr="004064AB">
        <w:t>significant reductions in the state appropriation, the following increases are proposed. T</w:t>
      </w:r>
      <w:r w:rsidRPr="004064AB">
        <w:t>his will allow the University to continue to meet financial aid obligations, recruit and</w:t>
      </w:r>
      <w:r>
        <w:t xml:space="preserve"> retain personnel, maintain facilities and manage the general operating needs of the campus.</w:t>
      </w:r>
    </w:p>
    <w:p w14:paraId="45CC4436" w14:textId="7B9F97EE" w:rsidR="00AD07E1" w:rsidRDefault="00AD07E1">
      <w:pPr>
        <w:spacing w:before="240"/>
      </w:pPr>
      <w:r w:rsidRPr="00AC66AA">
        <w:rPr>
          <w:u w:val="single"/>
        </w:rPr>
        <w:t xml:space="preserve">New </w:t>
      </w:r>
      <w:r w:rsidRPr="000531CE">
        <w:rPr>
          <w:b/>
          <w:u w:val="single"/>
        </w:rPr>
        <w:t>In-</w:t>
      </w:r>
      <w:r w:rsidR="001874CA">
        <w:rPr>
          <w:b/>
          <w:u w:val="single"/>
        </w:rPr>
        <w:t>S</w:t>
      </w:r>
      <w:r w:rsidRPr="000531CE">
        <w:rPr>
          <w:b/>
          <w:u w:val="single"/>
        </w:rPr>
        <w:t>tate</w:t>
      </w:r>
      <w:r>
        <w:rPr>
          <w:u w:val="single"/>
        </w:rPr>
        <w:t xml:space="preserve"> S</w:t>
      </w:r>
      <w:r w:rsidRPr="00547DC9">
        <w:rPr>
          <w:u w:val="single"/>
        </w:rPr>
        <w:t>tudents</w:t>
      </w:r>
      <w:r w:rsidR="00173F7A">
        <w:rPr>
          <w:u w:val="single"/>
        </w:rPr>
        <w:t xml:space="preserve"> in 201</w:t>
      </w:r>
      <w:r w:rsidR="00CB2CFA">
        <w:rPr>
          <w:u w:val="single"/>
        </w:rPr>
        <w:t>5</w:t>
      </w:r>
      <w:r w:rsidR="004A14EE">
        <w:rPr>
          <w:u w:val="single"/>
        </w:rPr>
        <w:t>-</w:t>
      </w:r>
      <w:r w:rsidR="00564FAA">
        <w:rPr>
          <w:u w:val="single"/>
        </w:rPr>
        <w:t>1</w:t>
      </w:r>
      <w:r w:rsidR="00CB2CFA">
        <w:rPr>
          <w:u w:val="single"/>
        </w:rPr>
        <w:t>6</w:t>
      </w:r>
      <w:r w:rsidR="001600B5">
        <w:t xml:space="preserve">. </w:t>
      </w:r>
      <w:r w:rsidRPr="00A56CC3">
        <w:t>Illinois State University requests authority to charge new, in-s</w:t>
      </w:r>
      <w:r w:rsidR="00C30E4C">
        <w:t xml:space="preserve">tate undergraduate students </w:t>
      </w:r>
      <w:r w:rsidR="009907F4">
        <w:t>$359.47</w:t>
      </w:r>
      <w:r w:rsidRPr="00A56CC3">
        <w:t xml:space="preserve"> per </w:t>
      </w:r>
      <w:r w:rsidR="001874CA">
        <w:t xml:space="preserve">credit </w:t>
      </w:r>
      <w:r w:rsidR="00C30E4C">
        <w:t>hour for the 201</w:t>
      </w:r>
      <w:r w:rsidR="00CB2CFA">
        <w:t>5</w:t>
      </w:r>
      <w:r w:rsidR="00C30E4C">
        <w:t>-1</w:t>
      </w:r>
      <w:r w:rsidR="00CB2CFA">
        <w:t>6</w:t>
      </w:r>
      <w:r w:rsidR="003E19FC">
        <w:t xml:space="preserve"> </w:t>
      </w:r>
      <w:r w:rsidR="008A05C9" w:rsidRPr="00A56CC3">
        <w:t xml:space="preserve">academic year </w:t>
      </w:r>
      <w:r w:rsidR="00A56CC3" w:rsidRPr="00A56CC3">
        <w:t>(</w:t>
      </w:r>
      <w:r w:rsidR="00CB2CFA">
        <w:t>FY2016</w:t>
      </w:r>
      <w:r w:rsidR="0010561A">
        <w:t>.)</w:t>
      </w:r>
      <w:r w:rsidR="001600B5">
        <w:t xml:space="preserve"> </w:t>
      </w:r>
      <w:r w:rsidR="0037112D">
        <w:t xml:space="preserve">This rate is </w:t>
      </w:r>
      <w:r w:rsidR="009907F4">
        <w:t>$10.47 (3.0</w:t>
      </w:r>
      <w:r w:rsidR="006A44B7" w:rsidRPr="00892EA7">
        <w:t xml:space="preserve"> percent</w:t>
      </w:r>
      <w:r w:rsidR="004064AB" w:rsidRPr="00892EA7">
        <w:t>)</w:t>
      </w:r>
      <w:r w:rsidR="001C67D6" w:rsidRPr="00892EA7">
        <w:t xml:space="preserve"> </w:t>
      </w:r>
      <w:r w:rsidR="001C67D6" w:rsidRPr="004064AB">
        <w:t xml:space="preserve">more per credit </w:t>
      </w:r>
      <w:r w:rsidRPr="004064AB">
        <w:t>hour</w:t>
      </w:r>
      <w:r w:rsidR="004064AB" w:rsidRPr="004064AB">
        <w:t xml:space="preserve"> </w:t>
      </w:r>
      <w:r w:rsidRPr="004064AB">
        <w:t>than</w:t>
      </w:r>
      <w:r w:rsidRPr="00A56CC3">
        <w:t xml:space="preserve"> was charg</w:t>
      </w:r>
      <w:r w:rsidR="00CC4B02" w:rsidRPr="00A56CC3">
        <w:t xml:space="preserve">ed </w:t>
      </w:r>
      <w:r w:rsidR="007C5D78">
        <w:t xml:space="preserve">to </w:t>
      </w:r>
      <w:r w:rsidR="00C903F2" w:rsidRPr="00A56CC3">
        <w:t>n</w:t>
      </w:r>
      <w:r w:rsidR="00CB2CFA">
        <w:t>ew in-state students in the 2014</w:t>
      </w:r>
      <w:r w:rsidR="00C903F2" w:rsidRPr="00A56CC3">
        <w:t>-</w:t>
      </w:r>
      <w:r w:rsidR="00CB2CFA">
        <w:t>15</w:t>
      </w:r>
      <w:r w:rsidR="00C903F2" w:rsidRPr="00A56CC3">
        <w:t xml:space="preserve"> academic year</w:t>
      </w:r>
      <w:r w:rsidR="001600B5">
        <w:t xml:space="preserve">. </w:t>
      </w:r>
      <w:r w:rsidRPr="00A56CC3">
        <w:t xml:space="preserve">However, the “Truth-in-Tuition” statute guarantees that these students will continue to pay </w:t>
      </w:r>
      <w:r w:rsidR="00CC4B02" w:rsidRPr="00A56CC3">
        <w:t>this rate th</w:t>
      </w:r>
      <w:r w:rsidR="00A56CC3" w:rsidRPr="00A56CC3">
        <w:t xml:space="preserve">rough </w:t>
      </w:r>
      <w:r w:rsidR="00C30E4C">
        <w:t>summer of 201</w:t>
      </w:r>
      <w:r w:rsidR="00CB2CFA">
        <w:t>9</w:t>
      </w:r>
      <w:r w:rsidRPr="00A56CC3">
        <w:t>.</w:t>
      </w:r>
      <w:r w:rsidR="001600B5">
        <w:t xml:space="preserve">  </w:t>
      </w:r>
      <w:r w:rsidR="009C4721" w:rsidRPr="00DB673E">
        <w:t xml:space="preserve">As such, this recommended rate change equates to an average annual increase </w:t>
      </w:r>
      <w:r w:rsidR="009907F4">
        <w:t>of 0.74</w:t>
      </w:r>
      <w:r w:rsidR="001600B5" w:rsidRPr="00892EA7">
        <w:t xml:space="preserve"> percent</w:t>
      </w:r>
      <w:r w:rsidR="001600B5" w:rsidRPr="00DB673E">
        <w:t xml:space="preserve"> over the four-</w:t>
      </w:r>
      <w:r w:rsidR="009C4721" w:rsidRPr="00DB673E">
        <w:t>year period.</w:t>
      </w:r>
    </w:p>
    <w:p w14:paraId="4861ACB9" w14:textId="2C65B8F8" w:rsidR="008A05C9" w:rsidRPr="000B6203" w:rsidRDefault="00AD07E1" w:rsidP="0033583E">
      <w:pPr>
        <w:spacing w:before="240"/>
      </w:pPr>
      <w:r w:rsidRPr="00AC66AA">
        <w:rPr>
          <w:u w:val="single"/>
        </w:rPr>
        <w:t xml:space="preserve">New </w:t>
      </w:r>
      <w:r w:rsidRPr="000531CE">
        <w:rPr>
          <w:b/>
          <w:u w:val="single"/>
        </w:rPr>
        <w:t>Out-of-</w:t>
      </w:r>
      <w:r w:rsidR="001874CA">
        <w:rPr>
          <w:b/>
          <w:u w:val="single"/>
        </w:rPr>
        <w:t>S</w:t>
      </w:r>
      <w:r w:rsidRPr="000531CE">
        <w:rPr>
          <w:b/>
          <w:u w:val="single"/>
        </w:rPr>
        <w:t>tate</w:t>
      </w:r>
      <w:r>
        <w:rPr>
          <w:u w:val="single"/>
        </w:rPr>
        <w:t xml:space="preserve"> S</w:t>
      </w:r>
      <w:r w:rsidRPr="00547DC9">
        <w:rPr>
          <w:u w:val="single"/>
        </w:rPr>
        <w:t>tudents</w:t>
      </w:r>
      <w:r>
        <w:rPr>
          <w:u w:val="single"/>
        </w:rPr>
        <w:t xml:space="preserve"> in</w:t>
      </w:r>
      <w:r w:rsidR="00CB2CFA">
        <w:rPr>
          <w:u w:val="single"/>
        </w:rPr>
        <w:t xml:space="preserve"> 2015</w:t>
      </w:r>
      <w:r w:rsidR="004A14EE">
        <w:rPr>
          <w:u w:val="single"/>
        </w:rPr>
        <w:t>-</w:t>
      </w:r>
      <w:r w:rsidR="00564FAA">
        <w:rPr>
          <w:u w:val="single"/>
        </w:rPr>
        <w:t>1</w:t>
      </w:r>
      <w:r w:rsidR="00CB2CFA">
        <w:rPr>
          <w:u w:val="single"/>
        </w:rPr>
        <w:t>6</w:t>
      </w:r>
      <w:r w:rsidR="001600B5">
        <w:t xml:space="preserve">. </w:t>
      </w:r>
      <w:r w:rsidRPr="000B6203">
        <w:t>Illinois State University requests authority to charge new out-of-s</w:t>
      </w:r>
      <w:r w:rsidR="006B2119" w:rsidRPr="000B6203">
        <w:t xml:space="preserve">tate </w:t>
      </w:r>
      <w:r w:rsidR="000B6203" w:rsidRPr="000B6203">
        <w:t>undergradu</w:t>
      </w:r>
      <w:r w:rsidR="004E4F31">
        <w:t xml:space="preserve">ate students </w:t>
      </w:r>
      <w:r w:rsidR="004E4F31" w:rsidRPr="00892EA7">
        <w:t>$</w:t>
      </w:r>
      <w:r w:rsidR="006D3C39">
        <w:t>620</w:t>
      </w:r>
      <w:r w:rsidR="00A323C6" w:rsidRPr="00892EA7">
        <w:t xml:space="preserve"> </w:t>
      </w:r>
      <w:r w:rsidRPr="00892EA7">
        <w:t xml:space="preserve">per </w:t>
      </w:r>
      <w:r w:rsidR="001C67D6" w:rsidRPr="00892EA7">
        <w:t xml:space="preserve">credit </w:t>
      </w:r>
      <w:r w:rsidR="00BF7913" w:rsidRPr="00892EA7">
        <w:t>hour</w:t>
      </w:r>
      <w:r w:rsidR="009907F4">
        <w:t>, or an increase of 3.0</w:t>
      </w:r>
      <w:r w:rsidR="001600B5" w:rsidRPr="00892EA7">
        <w:t xml:space="preserve"> percent</w:t>
      </w:r>
      <w:r w:rsidR="009C4721" w:rsidRPr="000B6203">
        <w:t>,</w:t>
      </w:r>
      <w:r w:rsidR="00DB673E">
        <w:t xml:space="preserve"> for the 201</w:t>
      </w:r>
      <w:r w:rsidR="00CB2CFA">
        <w:t>5</w:t>
      </w:r>
      <w:r w:rsidR="00BF7913" w:rsidRPr="000B6203">
        <w:t>-1</w:t>
      </w:r>
      <w:r w:rsidR="00CB2CFA">
        <w:t>6</w:t>
      </w:r>
      <w:r w:rsidR="008A05C9" w:rsidRPr="000B6203">
        <w:t xml:space="preserve"> academic </w:t>
      </w:r>
      <w:r w:rsidR="00D77E55" w:rsidRPr="000B6203">
        <w:t>year (FY201</w:t>
      </w:r>
      <w:r w:rsidR="00CB2CFA">
        <w:t>6</w:t>
      </w:r>
      <w:r w:rsidR="00D77E55" w:rsidRPr="000B6203">
        <w:t>)</w:t>
      </w:r>
      <w:r w:rsidR="00DB673E">
        <w:t xml:space="preserve">.  This rate </w:t>
      </w:r>
      <w:r w:rsidR="00C95407">
        <w:t xml:space="preserve">is </w:t>
      </w:r>
      <w:r w:rsidR="006D3C39">
        <w:t>$18</w:t>
      </w:r>
      <w:r w:rsidR="001874CA" w:rsidRPr="00892EA7">
        <w:t xml:space="preserve"> more</w:t>
      </w:r>
      <w:r w:rsidR="001874CA">
        <w:t xml:space="preserve"> per </w:t>
      </w:r>
      <w:r w:rsidR="008A05C9" w:rsidRPr="000B6203">
        <w:t>credit hour than was charged n</w:t>
      </w:r>
      <w:r w:rsidR="004E4F31">
        <w:t>ew out-of-state students in 201</w:t>
      </w:r>
      <w:r w:rsidR="00CB2CFA">
        <w:t>4-15</w:t>
      </w:r>
      <w:r w:rsidR="001600B5">
        <w:t xml:space="preserve">. </w:t>
      </w:r>
      <w:r w:rsidR="00A95051" w:rsidRPr="000B6203">
        <w:t>As with in-state students, these</w:t>
      </w:r>
      <w:r w:rsidR="004569DC" w:rsidRPr="000B6203">
        <w:t xml:space="preserve"> students will</w:t>
      </w:r>
      <w:r w:rsidR="00A345BA" w:rsidRPr="000B6203">
        <w:t xml:space="preserve"> </w:t>
      </w:r>
      <w:r w:rsidR="008A05C9" w:rsidRPr="000B6203">
        <w:t xml:space="preserve">continue to pay </w:t>
      </w:r>
      <w:r w:rsidR="00CB2CFA">
        <w:t>this rate through summer of 2019</w:t>
      </w:r>
      <w:r w:rsidR="008A05C9" w:rsidRPr="000B6203">
        <w:t>.</w:t>
      </w:r>
      <w:r w:rsidR="009C4721" w:rsidRPr="000B6203">
        <w:t xml:space="preserve">  As such, this recommended rate change equates to an</w:t>
      </w:r>
      <w:r w:rsidR="004E4F31">
        <w:t xml:space="preserve"> average annual increase </w:t>
      </w:r>
      <w:r w:rsidR="004E4F31" w:rsidRPr="00892EA7">
        <w:t>of</w:t>
      </w:r>
      <w:r w:rsidR="009907F4">
        <w:t xml:space="preserve"> 0.74</w:t>
      </w:r>
      <w:r w:rsidR="001600B5" w:rsidRPr="00892EA7">
        <w:t xml:space="preserve"> percent</w:t>
      </w:r>
      <w:r w:rsidR="009C4721" w:rsidRPr="000B6203">
        <w:t xml:space="preserve"> over the four</w:t>
      </w:r>
      <w:r w:rsidR="001600B5">
        <w:t>-</w:t>
      </w:r>
      <w:r w:rsidR="009C4721" w:rsidRPr="000B6203">
        <w:t>year period.</w:t>
      </w:r>
      <w:r w:rsidR="00DF52FD">
        <w:t xml:space="preserve">   However, under the Enrollment Competitiveness Program approved by the Board at its February 17, 2012 meeting, selected </w:t>
      </w:r>
      <w:r w:rsidR="00766814">
        <w:t>entering high-</w:t>
      </w:r>
      <w:r w:rsidR="00DF52FD">
        <w:t>achieving/talented out-of-state students</w:t>
      </w:r>
      <w:r w:rsidR="00766814">
        <w:t xml:space="preserve"> or students residing in states contiguous to Illinois will be eligible to pay the in-state tuition rate.</w:t>
      </w:r>
    </w:p>
    <w:p w14:paraId="662C1EA1" w14:textId="1728256C" w:rsidR="00AD07E1" w:rsidRDefault="00380363" w:rsidP="0033583E">
      <w:pPr>
        <w:spacing w:before="240"/>
      </w:pPr>
      <w:r>
        <w:t xml:space="preserve">Table 1 shows the </w:t>
      </w:r>
      <w:r w:rsidR="00127B20">
        <w:t xml:space="preserve">undergraduate rates </w:t>
      </w:r>
      <w:r w:rsidR="00BD2DF8">
        <w:t xml:space="preserve">proposed </w:t>
      </w:r>
      <w:r w:rsidR="00DB673E">
        <w:t>for the 201</w:t>
      </w:r>
      <w:r w:rsidR="00A66D22">
        <w:t>5-16</w:t>
      </w:r>
      <w:r w:rsidR="00C91421">
        <w:t xml:space="preserve"> </w:t>
      </w:r>
      <w:r w:rsidR="00AD07E1">
        <w:t>academic year.</w:t>
      </w:r>
    </w:p>
    <w:p w14:paraId="31EBD6A3" w14:textId="72AF47AD" w:rsidR="00EC0421" w:rsidRDefault="00EC0421" w:rsidP="002B37A7">
      <w:pPr>
        <w:spacing w:before="240"/>
        <w:jc w:val="center"/>
      </w:pPr>
    </w:p>
    <w:p w14:paraId="5F685BBC" w14:textId="60EFFA4F" w:rsidR="003E19FC" w:rsidRDefault="009E6901" w:rsidP="000A64EA">
      <w:pPr>
        <w:spacing w:before="360"/>
        <w:jc w:val="center"/>
      </w:pPr>
      <w:r w:rsidRPr="009E6901">
        <w:rPr>
          <w:noProof/>
        </w:rPr>
        <w:drawing>
          <wp:inline distT="0" distB="0" distL="0" distR="0" wp14:anchorId="3135F0A4" wp14:editId="691EE2CE">
            <wp:extent cx="3257550"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2114550"/>
                    </a:xfrm>
                    <a:prstGeom prst="rect">
                      <a:avLst/>
                    </a:prstGeom>
                    <a:noFill/>
                    <a:ln>
                      <a:noFill/>
                    </a:ln>
                  </pic:spPr>
                </pic:pic>
              </a:graphicData>
            </a:graphic>
          </wp:inline>
        </w:drawing>
      </w:r>
    </w:p>
    <w:p w14:paraId="4194373A" w14:textId="77777777" w:rsidR="003E19FC" w:rsidRDefault="003E19FC" w:rsidP="000A64EA">
      <w:pPr>
        <w:spacing w:before="360"/>
        <w:jc w:val="center"/>
      </w:pPr>
    </w:p>
    <w:p w14:paraId="5472608B" w14:textId="77777777" w:rsidR="00AD07E1" w:rsidRPr="00695D23" w:rsidRDefault="00AD07E1" w:rsidP="000A64EA">
      <w:pPr>
        <w:spacing w:before="360"/>
        <w:jc w:val="center"/>
      </w:pPr>
      <w:r w:rsidRPr="00A47E21">
        <w:t>Graduate Tuition</w:t>
      </w:r>
    </w:p>
    <w:p w14:paraId="42EE9D65" w14:textId="447EB87E" w:rsidR="00AD07E1" w:rsidRDefault="001874CA" w:rsidP="00E57716">
      <w:pPr>
        <w:spacing w:before="240"/>
      </w:pPr>
      <w:r>
        <w:rPr>
          <w:b/>
          <w:u w:val="single"/>
        </w:rPr>
        <w:t>In-S</w:t>
      </w:r>
      <w:r w:rsidR="00AD07E1" w:rsidRPr="002F56C1">
        <w:rPr>
          <w:b/>
          <w:u w:val="single"/>
        </w:rPr>
        <w:t>tate</w:t>
      </w:r>
      <w:r w:rsidR="00AD07E1" w:rsidRPr="002F56C1">
        <w:rPr>
          <w:u w:val="single"/>
        </w:rPr>
        <w:t xml:space="preserve"> Grad</w:t>
      </w:r>
      <w:r w:rsidR="001D11AA" w:rsidRPr="002F56C1">
        <w:rPr>
          <w:u w:val="single"/>
        </w:rPr>
        <w:t>uate Students in</w:t>
      </w:r>
      <w:r w:rsidR="00F42D6E" w:rsidRPr="002F56C1">
        <w:rPr>
          <w:u w:val="single"/>
        </w:rPr>
        <w:t xml:space="preserve"> 201</w:t>
      </w:r>
      <w:r w:rsidR="00A66D22">
        <w:rPr>
          <w:u w:val="single"/>
        </w:rPr>
        <w:t>5</w:t>
      </w:r>
      <w:r w:rsidR="004A14EE" w:rsidRPr="002F56C1">
        <w:rPr>
          <w:u w:val="single"/>
        </w:rPr>
        <w:t>-</w:t>
      </w:r>
      <w:r w:rsidR="00A8553F" w:rsidRPr="002F56C1">
        <w:rPr>
          <w:u w:val="single"/>
        </w:rPr>
        <w:t>1</w:t>
      </w:r>
      <w:r w:rsidR="00A66D22">
        <w:rPr>
          <w:u w:val="single"/>
        </w:rPr>
        <w:t>6</w:t>
      </w:r>
      <w:r w:rsidR="001600B5" w:rsidRPr="002F56C1">
        <w:t xml:space="preserve">. </w:t>
      </w:r>
      <w:r w:rsidR="00AD07E1" w:rsidRPr="002F56C1">
        <w:t>Illinois State University requests authority to charge</w:t>
      </w:r>
      <w:r w:rsidR="00A47E21" w:rsidRPr="002F56C1">
        <w:t xml:space="preserve"> in-state graduate students </w:t>
      </w:r>
      <w:r w:rsidR="006D3C39">
        <w:t>$374</w:t>
      </w:r>
      <w:r w:rsidR="00AD07E1" w:rsidRPr="00892EA7">
        <w:t xml:space="preserve"> per</w:t>
      </w:r>
      <w:r w:rsidR="00AD07E1" w:rsidRPr="002F56C1">
        <w:t xml:space="preserve"> </w:t>
      </w:r>
      <w:r w:rsidR="001C67D6">
        <w:t xml:space="preserve">credit </w:t>
      </w:r>
      <w:r w:rsidR="00695D23" w:rsidRPr="002F56C1">
        <w:t xml:space="preserve">hour for the </w:t>
      </w:r>
      <w:r w:rsidR="00A47E21" w:rsidRPr="002F56C1">
        <w:t>201</w:t>
      </w:r>
      <w:r w:rsidR="00A66D22">
        <w:t>5-16</w:t>
      </w:r>
      <w:r w:rsidR="00AD07E1" w:rsidRPr="002F56C1">
        <w:t xml:space="preserve"> a</w:t>
      </w:r>
      <w:r w:rsidR="00BE4089" w:rsidRPr="002F56C1">
        <w:t>cademic year</w:t>
      </w:r>
      <w:r w:rsidR="001600B5" w:rsidRPr="002F56C1">
        <w:t xml:space="preserve">. </w:t>
      </w:r>
      <w:r w:rsidR="002F56C1" w:rsidRPr="002F56C1">
        <w:t xml:space="preserve">This rate is </w:t>
      </w:r>
      <w:r w:rsidR="006D3C39">
        <w:t>$14</w:t>
      </w:r>
      <w:r w:rsidR="006B2119" w:rsidRPr="00892EA7">
        <w:t xml:space="preserve"> </w:t>
      </w:r>
      <w:r w:rsidR="00361F4F" w:rsidRPr="00892EA7">
        <w:t xml:space="preserve">more </w:t>
      </w:r>
      <w:r w:rsidR="00AD07E1" w:rsidRPr="00892EA7">
        <w:t xml:space="preserve">per </w:t>
      </w:r>
      <w:r w:rsidR="001C67D6" w:rsidRPr="00892EA7">
        <w:t xml:space="preserve">credit </w:t>
      </w:r>
      <w:r w:rsidR="006B2119" w:rsidRPr="00892EA7">
        <w:t>hour</w:t>
      </w:r>
      <w:r w:rsidR="006D3C39">
        <w:t>, or 3.9</w:t>
      </w:r>
      <w:r w:rsidR="003E19FC">
        <w:t xml:space="preserve"> percent more</w:t>
      </w:r>
      <w:r w:rsidR="00361F4F">
        <w:t xml:space="preserve"> </w:t>
      </w:r>
      <w:r w:rsidR="006B2119" w:rsidRPr="002F56C1">
        <w:t xml:space="preserve">than </w:t>
      </w:r>
      <w:r w:rsidR="002F56C1" w:rsidRPr="002F56C1">
        <w:t>201</w:t>
      </w:r>
      <w:r w:rsidR="00A66D22">
        <w:t>4</w:t>
      </w:r>
      <w:r w:rsidR="004A14EE" w:rsidRPr="002F56C1">
        <w:t>-1</w:t>
      </w:r>
      <w:r w:rsidR="00A66D22">
        <w:t>5</w:t>
      </w:r>
      <w:r w:rsidR="001600B5" w:rsidRPr="002F56C1">
        <w:t xml:space="preserve"> rates. </w:t>
      </w:r>
      <w:r w:rsidR="005D5978" w:rsidRPr="002F56C1">
        <w:t xml:space="preserve">The increase is part of a multi-year plan to bring greater parity between undergraduate and graduate tuition rates at the University, in recognition of the typically higher </w:t>
      </w:r>
      <w:r w:rsidR="005D5978" w:rsidRPr="000B25D1">
        <w:t xml:space="preserve">cost of graduate instruction. </w:t>
      </w:r>
      <w:r w:rsidR="00AD07E1" w:rsidRPr="000B25D1">
        <w:t>The “Truth-in-Tuition” statu</w:t>
      </w:r>
      <w:r w:rsidR="00D301DD" w:rsidRPr="000B25D1">
        <w:t>t</w:t>
      </w:r>
      <w:r w:rsidR="00AD07E1" w:rsidRPr="000B25D1">
        <w:t>e does not apply to graduate tuition rates.</w:t>
      </w:r>
    </w:p>
    <w:p w14:paraId="1D0F5F24" w14:textId="77777777" w:rsidR="000B25D1" w:rsidRDefault="000B25D1" w:rsidP="00E57716">
      <w:pPr>
        <w:spacing w:before="240"/>
      </w:pPr>
    </w:p>
    <w:p w14:paraId="71C1AE22" w14:textId="2A14A91E" w:rsidR="000B25D1" w:rsidRPr="000B25D1" w:rsidRDefault="001874CA" w:rsidP="00E57716">
      <w:pPr>
        <w:spacing w:before="240"/>
      </w:pPr>
      <w:r>
        <w:rPr>
          <w:b/>
          <w:u w:val="single"/>
        </w:rPr>
        <w:t>Out-of-S</w:t>
      </w:r>
      <w:r w:rsidR="000B25D1" w:rsidRPr="000B25D1">
        <w:rPr>
          <w:b/>
          <w:u w:val="single"/>
        </w:rPr>
        <w:t>tate</w:t>
      </w:r>
      <w:r w:rsidR="000B25D1" w:rsidRPr="000B25D1">
        <w:rPr>
          <w:u w:val="single"/>
        </w:rPr>
        <w:t xml:space="preserve"> Graduate Students in 201</w:t>
      </w:r>
      <w:r w:rsidR="00A66D22">
        <w:rPr>
          <w:u w:val="single"/>
        </w:rPr>
        <w:t>5-16</w:t>
      </w:r>
      <w:r w:rsidR="000B25D1">
        <w:t>. Illinois State University requests authority to charge new out-of-state gra</w:t>
      </w:r>
      <w:r w:rsidR="001C67D6">
        <w:t xml:space="preserve">duate students </w:t>
      </w:r>
      <w:r w:rsidR="001B5A19">
        <w:t>$777</w:t>
      </w:r>
      <w:r w:rsidR="001C67D6" w:rsidRPr="00892EA7">
        <w:t xml:space="preserve"> per</w:t>
      </w:r>
      <w:r w:rsidR="001C67D6">
        <w:t xml:space="preserve"> credit </w:t>
      </w:r>
      <w:r w:rsidR="00A66D22">
        <w:t>hour for the 2015-16</w:t>
      </w:r>
      <w:r w:rsidR="000B25D1">
        <w:t xml:space="preserve"> academic year. This</w:t>
      </w:r>
      <w:r w:rsidR="001C67D6">
        <w:t xml:space="preserve"> rate </w:t>
      </w:r>
      <w:r w:rsidR="001B5A19">
        <w:t>is $30</w:t>
      </w:r>
      <w:r w:rsidR="001C67D6" w:rsidRPr="00892EA7">
        <w:t xml:space="preserve"> </w:t>
      </w:r>
      <w:r w:rsidR="00361F4F" w:rsidRPr="00892EA7">
        <w:t xml:space="preserve">more </w:t>
      </w:r>
      <w:r w:rsidR="001C67D6" w:rsidRPr="00892EA7">
        <w:t xml:space="preserve">per credit </w:t>
      </w:r>
      <w:r w:rsidR="000B25D1" w:rsidRPr="00892EA7">
        <w:t>hour</w:t>
      </w:r>
      <w:r w:rsidR="000461BB">
        <w:t>, or 4.0</w:t>
      </w:r>
      <w:r w:rsidR="003E19FC" w:rsidRPr="00892EA7">
        <w:t xml:space="preserve"> percent more</w:t>
      </w:r>
      <w:r w:rsidR="00361F4F">
        <w:t xml:space="preserve"> </w:t>
      </w:r>
      <w:r w:rsidR="000B25D1">
        <w:t>than 201</w:t>
      </w:r>
      <w:r w:rsidR="00A66D22">
        <w:t>4-15</w:t>
      </w:r>
      <w:r w:rsidR="000B25D1">
        <w:t xml:space="preserve"> rates.</w:t>
      </w:r>
    </w:p>
    <w:p w14:paraId="77AAF06B" w14:textId="77777777" w:rsidR="00AD07E1" w:rsidRPr="000B25D1" w:rsidRDefault="00AD07E1" w:rsidP="000A64EA">
      <w:pPr>
        <w:spacing w:before="360"/>
        <w:jc w:val="center"/>
      </w:pPr>
      <w:r w:rsidRPr="000B25D1">
        <w:t>Mandatory Student Fees</w:t>
      </w:r>
    </w:p>
    <w:p w14:paraId="73D62C08" w14:textId="6E20C6A1" w:rsidR="00AD07E1" w:rsidRPr="0027409D" w:rsidRDefault="00FA2808">
      <w:pPr>
        <w:spacing w:before="240"/>
      </w:pPr>
      <w:r>
        <w:t>In conjunction with the</w:t>
      </w:r>
      <w:r w:rsidR="00A56FB2" w:rsidRPr="000B25D1">
        <w:t xml:space="preserve"> implementation of “Truth-in-Tuition”, the University elected to extend</w:t>
      </w:r>
      <w:r w:rsidR="00AD07E1" w:rsidRPr="000B25D1">
        <w:t xml:space="preserve"> the</w:t>
      </w:r>
      <w:r w:rsidR="00AD07E1" w:rsidRPr="0027409D">
        <w:t xml:space="preserve"> four-year guarantee</w:t>
      </w:r>
      <w:r w:rsidR="00A56FB2">
        <w:t xml:space="preserve"> </w:t>
      </w:r>
      <w:r w:rsidR="00AD07E1" w:rsidRPr="0027409D">
        <w:t xml:space="preserve">to </w:t>
      </w:r>
      <w:r w:rsidR="00A56FB2">
        <w:t>include mandatory student fees. This further assures</w:t>
      </w:r>
      <w:r w:rsidR="00AD07E1" w:rsidRPr="0027409D">
        <w:t xml:space="preserve"> students and parents that a major p</w:t>
      </w:r>
      <w:r w:rsidR="00DC7D8A">
        <w:t>ortion of the cost of attendance</w:t>
      </w:r>
      <w:r w:rsidR="00A56FB2">
        <w:t xml:space="preserve"> will</w:t>
      </w:r>
      <w:r w:rsidR="00AD07E1" w:rsidRPr="0027409D">
        <w:t xml:space="preserve"> not change from year to year.</w:t>
      </w:r>
      <w:r>
        <w:t xml:space="preserve">  </w:t>
      </w:r>
      <w:r w:rsidR="002779ED">
        <w:t xml:space="preserve">Mandatory Student Fees are assessed of all students on a per credit hour basis whether undergraduate or graduate status.  Each fee is assessed for a specific operational service and/or program.  Examples include such things as general activities, Bone Student Center, health services, athletic facilities and services, recreational facilities and services, campus enhancements, instructional support as well as grant-in-aid and student-to-student grants. </w:t>
      </w:r>
    </w:p>
    <w:p w14:paraId="7A643626" w14:textId="1EE84226" w:rsidR="0073733E" w:rsidRPr="00633793" w:rsidRDefault="00481684" w:rsidP="00481684">
      <w:pPr>
        <w:spacing w:before="240"/>
      </w:pPr>
      <w:r w:rsidRPr="00633793">
        <w:t>Illinois State University requests authority to charge mandatory fe</w:t>
      </w:r>
      <w:r w:rsidR="00F42D6E" w:rsidRPr="00633793">
        <w:t xml:space="preserve">es to </w:t>
      </w:r>
      <w:r w:rsidR="00F42D6E" w:rsidRPr="00046BFD">
        <w:t xml:space="preserve">all new students of </w:t>
      </w:r>
      <w:r w:rsidR="00046BFD" w:rsidRPr="00046BFD">
        <w:t>$79.46</w:t>
      </w:r>
      <w:r w:rsidR="00EC3056" w:rsidRPr="00046BFD">
        <w:t xml:space="preserve"> </w:t>
      </w:r>
      <w:r w:rsidRPr="00046BFD">
        <w:t>per credit hour</w:t>
      </w:r>
      <w:r w:rsidR="00A66D22" w:rsidRPr="00046BFD">
        <w:t xml:space="preserve"> for the 2015-16</w:t>
      </w:r>
      <w:r w:rsidR="002779ED" w:rsidRPr="00046BFD">
        <w:t xml:space="preserve"> academic year</w:t>
      </w:r>
      <w:r w:rsidRPr="00046BFD">
        <w:t>. This r</w:t>
      </w:r>
      <w:r w:rsidR="005B4B86" w:rsidRPr="00046BFD">
        <w:t>a</w:t>
      </w:r>
      <w:r w:rsidR="00F42D6E" w:rsidRPr="00046BFD">
        <w:t xml:space="preserve">te is </w:t>
      </w:r>
      <w:r w:rsidR="00046BFD" w:rsidRPr="00046BFD">
        <w:t>$.80</w:t>
      </w:r>
      <w:r w:rsidRPr="00046BFD">
        <w:t xml:space="preserve"> more per credit hour</w:t>
      </w:r>
      <w:r w:rsidR="00A66D22" w:rsidRPr="00046BFD">
        <w:t>, or 1</w:t>
      </w:r>
      <w:r w:rsidR="00DE5AE4" w:rsidRPr="00046BFD">
        <w:t>.0 percent</w:t>
      </w:r>
      <w:r w:rsidR="00244DE7" w:rsidRPr="00046BFD">
        <w:t xml:space="preserve">, </w:t>
      </w:r>
      <w:r w:rsidRPr="00046BFD">
        <w:t xml:space="preserve">than </w:t>
      </w:r>
      <w:r w:rsidR="0002777A" w:rsidRPr="00046BFD">
        <w:t xml:space="preserve">was </w:t>
      </w:r>
      <w:r w:rsidRPr="00046BFD">
        <w:t xml:space="preserve">charged </w:t>
      </w:r>
      <w:r w:rsidR="002779ED" w:rsidRPr="00046BFD">
        <w:t xml:space="preserve">to new </w:t>
      </w:r>
      <w:r w:rsidRPr="00046BFD">
        <w:t>students</w:t>
      </w:r>
      <w:r w:rsidR="002003E8" w:rsidRPr="00046BFD">
        <w:t xml:space="preserve"> in the 201</w:t>
      </w:r>
      <w:r w:rsidR="00A66D22" w:rsidRPr="00046BFD">
        <w:t>4-15</w:t>
      </w:r>
      <w:r w:rsidR="002003E8" w:rsidRPr="00046BFD">
        <w:t xml:space="preserve"> academic year</w:t>
      </w:r>
      <w:r w:rsidR="001600B5" w:rsidRPr="00046BFD">
        <w:t xml:space="preserve">. </w:t>
      </w:r>
      <w:r w:rsidR="00027D65" w:rsidRPr="00046BFD">
        <w:t>The increase is necessary</w:t>
      </w:r>
      <w:r w:rsidR="00027D65">
        <w:t xml:space="preserve"> to meet operational costs</w:t>
      </w:r>
      <w:r w:rsidR="00E9463C">
        <w:t>,</w:t>
      </w:r>
      <w:r w:rsidR="00027D65">
        <w:t xml:space="preserve"> provide for debt service</w:t>
      </w:r>
      <w:r w:rsidR="00E9463C">
        <w:t>,</w:t>
      </w:r>
      <w:r w:rsidR="00027D65">
        <w:t xml:space="preserve"> and meet repair and repla</w:t>
      </w:r>
      <w:r w:rsidR="00027D65" w:rsidRPr="00633793">
        <w:t>cement reserve requirements.</w:t>
      </w:r>
    </w:p>
    <w:p w14:paraId="717E4AC2" w14:textId="65D35D15" w:rsidR="0073733E" w:rsidRPr="00633793" w:rsidRDefault="0073733E" w:rsidP="00633793">
      <w:pPr>
        <w:spacing w:before="240"/>
      </w:pPr>
      <w:r w:rsidRPr="00633793">
        <w:t>Illinois State University also requests authority to inc</w:t>
      </w:r>
      <w:r w:rsidR="00EC3056" w:rsidRPr="00633793">
        <w:t xml:space="preserve">rease </w:t>
      </w:r>
      <w:r w:rsidR="00F42D6E" w:rsidRPr="00633793">
        <w:t xml:space="preserve">the </w:t>
      </w:r>
      <w:r w:rsidR="00F42D6E" w:rsidRPr="00046BFD">
        <w:t>outreach fee to $7</w:t>
      </w:r>
      <w:r w:rsidR="00046BFD" w:rsidRPr="00046BFD">
        <w:t>9.46</w:t>
      </w:r>
      <w:r w:rsidR="00AF0907" w:rsidRPr="00046BFD">
        <w:t xml:space="preserve"> per credit hour for the 201</w:t>
      </w:r>
      <w:r w:rsidR="00A66D22" w:rsidRPr="00046BFD">
        <w:t>5-16</w:t>
      </w:r>
      <w:r w:rsidR="00AF0907" w:rsidRPr="00046BFD">
        <w:t xml:space="preserve"> academic year</w:t>
      </w:r>
      <w:r w:rsidR="00F42D6E" w:rsidRPr="00046BFD">
        <w:t xml:space="preserve">, an increase </w:t>
      </w:r>
      <w:r w:rsidR="00046BFD" w:rsidRPr="00046BFD">
        <w:t>of $.80</w:t>
      </w:r>
      <w:r w:rsidR="00AF0907" w:rsidRPr="00046BFD">
        <w:t xml:space="preserve">.  </w:t>
      </w:r>
      <w:r w:rsidR="006D26DC" w:rsidRPr="00046BFD">
        <w:t>Outreach fees are charged to groups of students in contracted</w:t>
      </w:r>
      <w:r w:rsidR="00AF0907" w:rsidRPr="00046BFD">
        <w:t xml:space="preserve"> or non</w:t>
      </w:r>
      <w:r w:rsidR="006D26DC" w:rsidRPr="00046BFD">
        <w:t>-campus locations</w:t>
      </w:r>
      <w:r w:rsidR="00AF0907" w:rsidRPr="00046BFD">
        <w:t xml:space="preserve"> </w:t>
      </w:r>
      <w:r w:rsidR="006D26DC" w:rsidRPr="00046BFD">
        <w:t xml:space="preserve">that </w:t>
      </w:r>
      <w:r w:rsidR="00AF0907" w:rsidRPr="00046BFD">
        <w:t>are not</w:t>
      </w:r>
      <w:r w:rsidR="006D26DC" w:rsidRPr="00046BFD">
        <w:t xml:space="preserve"> otherwise enroll</w:t>
      </w:r>
      <w:r w:rsidR="00AF0907" w:rsidRPr="00046BFD">
        <w:t>ed in University</w:t>
      </w:r>
      <w:r w:rsidR="00AF0907">
        <w:t xml:space="preserve"> courses</w:t>
      </w:r>
      <w:r w:rsidR="006D26DC">
        <w:t>.</w:t>
      </w:r>
      <w:r w:rsidR="00AF0907">
        <w:t xml:space="preserve">  </w:t>
      </w:r>
      <w:r w:rsidR="00633793">
        <w:t xml:space="preserve">This accommodates </w:t>
      </w:r>
      <w:r w:rsidRPr="00633793">
        <w:t xml:space="preserve">costs associated with the varied methods of delivering </w:t>
      </w:r>
      <w:r w:rsidR="00633793">
        <w:t xml:space="preserve">off-campus </w:t>
      </w:r>
      <w:r w:rsidRPr="00633793">
        <w:t>instruction.</w:t>
      </w:r>
    </w:p>
    <w:p w14:paraId="76E9DB6B" w14:textId="34B29B61" w:rsidR="00BC61AF" w:rsidRDefault="00380363" w:rsidP="00BC61AF">
      <w:pPr>
        <w:spacing w:before="240"/>
      </w:pPr>
      <w:r>
        <w:t xml:space="preserve">Table 2 shows the undergraduate rates proposed </w:t>
      </w:r>
      <w:r w:rsidR="00A66D22">
        <w:t>for the 2015-16</w:t>
      </w:r>
      <w:r w:rsidR="00BC61AF" w:rsidRPr="00633793">
        <w:t xml:space="preserve"> academic year.</w:t>
      </w:r>
    </w:p>
    <w:p w14:paraId="4752C40B" w14:textId="64A3C949" w:rsidR="00517230" w:rsidRDefault="00A4264E" w:rsidP="00BC61AF">
      <w:pPr>
        <w:spacing w:before="240"/>
        <w:jc w:val="center"/>
      </w:pPr>
      <w:r w:rsidRPr="00A4264E">
        <w:rPr>
          <w:noProof/>
        </w:rPr>
        <w:drawing>
          <wp:inline distT="0" distB="0" distL="0" distR="0" wp14:anchorId="0E909C77" wp14:editId="5A0A9FDD">
            <wp:extent cx="3257550" cy="2114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0" cy="2114550"/>
                    </a:xfrm>
                    <a:prstGeom prst="rect">
                      <a:avLst/>
                    </a:prstGeom>
                    <a:noFill/>
                    <a:ln>
                      <a:noFill/>
                    </a:ln>
                  </pic:spPr>
                </pic:pic>
              </a:graphicData>
            </a:graphic>
          </wp:inline>
        </w:drawing>
      </w:r>
    </w:p>
    <w:p w14:paraId="5F6D2D16" w14:textId="77777777" w:rsidR="003E19FC" w:rsidRDefault="003E19FC" w:rsidP="00081BE9">
      <w:pPr>
        <w:spacing w:before="360"/>
        <w:jc w:val="center"/>
      </w:pPr>
    </w:p>
    <w:p w14:paraId="7A67851F" w14:textId="77777777" w:rsidR="003E19FC" w:rsidRDefault="003E19FC" w:rsidP="00081BE9">
      <w:pPr>
        <w:spacing w:before="360"/>
        <w:jc w:val="center"/>
      </w:pPr>
    </w:p>
    <w:p w14:paraId="706AF82F" w14:textId="77777777" w:rsidR="003E19FC" w:rsidRDefault="003E19FC" w:rsidP="00081BE9">
      <w:pPr>
        <w:spacing w:before="360"/>
        <w:jc w:val="center"/>
      </w:pPr>
    </w:p>
    <w:p w14:paraId="17CDDF81" w14:textId="77777777" w:rsidR="00081BE9" w:rsidRDefault="00081BE9" w:rsidP="00081BE9">
      <w:pPr>
        <w:spacing w:before="360"/>
        <w:jc w:val="center"/>
      </w:pPr>
      <w:r w:rsidRPr="000D0F8E">
        <w:t>Room and Board</w:t>
      </w:r>
    </w:p>
    <w:p w14:paraId="2A1C969D" w14:textId="25CAD06A" w:rsidR="00046BFD" w:rsidRPr="00B3592A" w:rsidRDefault="00046BFD" w:rsidP="00046BFD">
      <w:pPr>
        <w:spacing w:before="360"/>
        <w:rPr>
          <w:u w:val="single"/>
        </w:rPr>
      </w:pPr>
      <w:r w:rsidRPr="00B3592A">
        <w:rPr>
          <w:u w:val="single"/>
        </w:rPr>
        <w:t>Housing</w:t>
      </w:r>
    </w:p>
    <w:p w14:paraId="3C6A4327" w14:textId="63F80375" w:rsidR="00D539A5" w:rsidRDefault="00D539A5" w:rsidP="00D539A5">
      <w:pPr>
        <w:spacing w:before="240"/>
      </w:pPr>
      <w:r>
        <w:t>There is no increase proposed for residence hall contracts. University Housing Services will remain adequately funded and still meet operational costs, provide for debt service and satisfy repair and replacement reserve requirements.</w:t>
      </w:r>
    </w:p>
    <w:p w14:paraId="772D754D" w14:textId="3465F1FA" w:rsidR="004B7F52" w:rsidRDefault="004B7F52" w:rsidP="004B7F52">
      <w:pPr>
        <w:spacing w:before="240"/>
      </w:pPr>
      <w:r w:rsidRPr="001F5FD5">
        <w:t xml:space="preserve">In accordance with the agreement to construct Cardinal Court as a public/private partnership, the authority to approve rental rates for these apartments rests with the Collegiate Housing Foundation, which holds the ground lease and owns the facilities.  The rental rates are established to meet the University’s management obligations under </w:t>
      </w:r>
      <w:r w:rsidR="003E19FC">
        <w:t>this agreement.  For the 2015-1</w:t>
      </w:r>
      <w:r w:rsidRPr="001F5FD5">
        <w:t>6</w:t>
      </w:r>
      <w:r w:rsidR="003E19FC">
        <w:t xml:space="preserve"> </w:t>
      </w:r>
      <w:r w:rsidRPr="001F5FD5">
        <w:t>academic year, the rent at Cardinal Court apartments has been approved for an increase of 4</w:t>
      </w:r>
      <w:r w:rsidR="00833D29">
        <w:t>.0</w:t>
      </w:r>
      <w:r w:rsidRPr="001F5FD5">
        <w:t xml:space="preserve"> percent.</w:t>
      </w:r>
    </w:p>
    <w:p w14:paraId="25F9FAFE" w14:textId="77777777" w:rsidR="004B7F52" w:rsidRDefault="004B7F52" w:rsidP="004B7F52">
      <w:pPr>
        <w:spacing w:before="240"/>
        <w:rPr>
          <w:color w:val="FF0000"/>
        </w:rPr>
      </w:pPr>
      <w:r w:rsidRPr="00794C00">
        <w:t>Tables 3 shows proposed F</w:t>
      </w:r>
      <w:r>
        <w:t xml:space="preserve">Y2016 rates for on-campus housing </w:t>
      </w:r>
      <w:r w:rsidRPr="00794C00">
        <w:t>optio</w:t>
      </w:r>
      <w:r>
        <w:t>ns</w:t>
      </w:r>
      <w:r w:rsidRPr="00794C00">
        <w:t>.</w:t>
      </w:r>
      <w:r w:rsidRPr="0083246E">
        <w:rPr>
          <w:color w:val="FF0000"/>
        </w:rPr>
        <w:t xml:space="preserve">  </w:t>
      </w:r>
    </w:p>
    <w:p w14:paraId="021EAB08" w14:textId="77777777" w:rsidR="004B7F52" w:rsidRDefault="004B7F52" w:rsidP="004B7F52">
      <w:pPr>
        <w:spacing w:before="240"/>
        <w:jc w:val="center"/>
        <w:rPr>
          <w:color w:val="FF0000"/>
        </w:rPr>
      </w:pPr>
      <w:r w:rsidRPr="004B7F52">
        <w:rPr>
          <w:noProof/>
        </w:rPr>
        <w:drawing>
          <wp:inline distT="0" distB="0" distL="0" distR="0" wp14:anchorId="64C45993" wp14:editId="5BAD38F0">
            <wp:extent cx="2857500" cy="3086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086100"/>
                    </a:xfrm>
                    <a:prstGeom prst="rect">
                      <a:avLst/>
                    </a:prstGeom>
                    <a:noFill/>
                    <a:ln>
                      <a:noFill/>
                    </a:ln>
                  </pic:spPr>
                </pic:pic>
              </a:graphicData>
            </a:graphic>
          </wp:inline>
        </w:drawing>
      </w:r>
    </w:p>
    <w:p w14:paraId="475A1ED7" w14:textId="675E055B" w:rsidR="00046BFD" w:rsidRPr="00B3592A" w:rsidRDefault="00046BFD" w:rsidP="00081BE9">
      <w:pPr>
        <w:spacing w:before="240"/>
        <w:rPr>
          <w:u w:val="single"/>
        </w:rPr>
      </w:pPr>
      <w:r w:rsidRPr="00B3592A">
        <w:rPr>
          <w:u w:val="single"/>
        </w:rPr>
        <w:t>Dining</w:t>
      </w:r>
    </w:p>
    <w:p w14:paraId="78A6CF95" w14:textId="7F40ADF8" w:rsidR="00046BFD" w:rsidRDefault="00E34061" w:rsidP="00081BE9">
      <w:pPr>
        <w:spacing w:before="240"/>
      </w:pPr>
      <w:r w:rsidRPr="000D0F8E">
        <w:t>Illinois State University engages on-campus residents through</w:t>
      </w:r>
      <w:r>
        <w:t xml:space="preserve"> the Association of Residence Halls (ARH) in a</w:t>
      </w:r>
      <w:r w:rsidR="005C0C06">
        <w:t>n annual</w:t>
      </w:r>
      <w:r>
        <w:t xml:space="preserve"> review of residence hal</w:t>
      </w:r>
      <w:r w:rsidR="001600B5">
        <w:t xml:space="preserve">l room rates and dining rates. </w:t>
      </w:r>
      <w:r>
        <w:t>ARH completed its</w:t>
      </w:r>
      <w:r w:rsidR="005C0C06">
        <w:t xml:space="preserve"> current</w:t>
      </w:r>
      <w:r>
        <w:t xml:space="preserve"> review and s</w:t>
      </w:r>
      <w:r w:rsidR="001600B5">
        <w:t xml:space="preserve">ubmitted its recommendations. </w:t>
      </w:r>
      <w:r w:rsidR="001874CA">
        <w:t xml:space="preserve"> </w:t>
      </w:r>
      <w:r w:rsidR="006F04B2">
        <w:t>Based on these recommend</w:t>
      </w:r>
      <w:r w:rsidR="000601A7">
        <w:t xml:space="preserve">ations, the University </w:t>
      </w:r>
      <w:r w:rsidR="00960ECD">
        <w:t xml:space="preserve">has added $60 in flex dollars to the 5-Day Unlimited </w:t>
      </w:r>
      <w:r w:rsidR="001F5FD5">
        <w:t xml:space="preserve">plan </w:t>
      </w:r>
      <w:r w:rsidR="00960ECD">
        <w:t xml:space="preserve">and </w:t>
      </w:r>
      <w:r w:rsidR="001F5FD5">
        <w:t>subtracted $60 in flex dollars from the 19-Meal Traditional plan</w:t>
      </w:r>
      <w:r w:rsidR="00960ECD">
        <w:t xml:space="preserve">. </w:t>
      </w:r>
      <w:r w:rsidR="001F5FD5">
        <w:t>These changes are reflected in the total cost per semester</w:t>
      </w:r>
      <w:r w:rsidR="00FB7167">
        <w:t>.</w:t>
      </w:r>
      <w:r w:rsidR="001F5FD5">
        <w:t xml:space="preserve"> </w:t>
      </w:r>
      <w:r w:rsidR="00FB7167">
        <w:t>F</w:t>
      </w:r>
      <w:r w:rsidR="001F5FD5">
        <w:t xml:space="preserve">or every flex dollar purchased as part of a dining plan, students have that same amount available to spend at retail food venues. </w:t>
      </w:r>
      <w:r w:rsidR="00960ECD">
        <w:t xml:space="preserve">The </w:t>
      </w:r>
      <w:r w:rsidR="001F5FD5">
        <w:t>change in</w:t>
      </w:r>
      <w:r w:rsidR="00960ECD">
        <w:t xml:space="preserve"> f</w:t>
      </w:r>
      <w:r w:rsidR="001F5FD5">
        <w:t>lex dollars is the only revision</w:t>
      </w:r>
      <w:r w:rsidR="00960ECD">
        <w:t xml:space="preserve"> recommended f</w:t>
      </w:r>
      <w:r w:rsidR="006F04B2">
        <w:t>or dining rates</w:t>
      </w:r>
      <w:r w:rsidR="005C0C06">
        <w:t xml:space="preserve"> for the 201</w:t>
      </w:r>
      <w:r w:rsidR="000601A7">
        <w:t xml:space="preserve">5-16 </w:t>
      </w:r>
      <w:r w:rsidR="005C0C06">
        <w:t>academic year</w:t>
      </w:r>
      <w:r w:rsidR="000601A7">
        <w:t xml:space="preserve">. </w:t>
      </w:r>
      <w:r>
        <w:t xml:space="preserve">Campus Dining Services </w:t>
      </w:r>
      <w:r w:rsidR="00960ECD">
        <w:t xml:space="preserve">will remain adequately funded with flat rates overall and still </w:t>
      </w:r>
      <w:r>
        <w:t>meet operational costs,</w:t>
      </w:r>
      <w:r w:rsidR="000F2A20">
        <w:t xml:space="preserve"> </w:t>
      </w:r>
      <w:r>
        <w:t>provide for debt service and to meet repair and replacement reserve requirements.</w:t>
      </w:r>
    </w:p>
    <w:p w14:paraId="1A5B7B6D" w14:textId="63B0EA74" w:rsidR="00081BE9" w:rsidRDefault="00D316B4" w:rsidP="00081BE9">
      <w:pPr>
        <w:spacing w:before="240"/>
      </w:pPr>
      <w:r>
        <w:t xml:space="preserve">Tables 4 shows </w:t>
      </w:r>
      <w:r w:rsidR="00EC3056">
        <w:t>FY</w:t>
      </w:r>
      <w:r w:rsidR="000601A7">
        <w:t>2016</w:t>
      </w:r>
      <w:r w:rsidR="0096518D">
        <w:t xml:space="preserve"> </w:t>
      </w:r>
      <w:r>
        <w:t xml:space="preserve">rates for residence hall </w:t>
      </w:r>
      <w:r w:rsidR="00081BE9" w:rsidRPr="00794C00">
        <w:t>dining options.</w:t>
      </w:r>
    </w:p>
    <w:p w14:paraId="49010F9F" w14:textId="2C23C292" w:rsidR="00AD07E1" w:rsidRPr="0083246E" w:rsidRDefault="004B7F52" w:rsidP="00081BE9">
      <w:pPr>
        <w:spacing w:before="360"/>
        <w:jc w:val="center"/>
        <w:rPr>
          <w:color w:val="FF0000"/>
        </w:rPr>
      </w:pPr>
      <w:r w:rsidRPr="004B7F52">
        <w:rPr>
          <w:noProof/>
        </w:rPr>
        <w:lastRenderedPageBreak/>
        <w:drawing>
          <wp:inline distT="0" distB="0" distL="0" distR="0" wp14:anchorId="26007B2F" wp14:editId="4B4EE13D">
            <wp:extent cx="4848225" cy="3143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8225" cy="3143250"/>
                    </a:xfrm>
                    <a:prstGeom prst="rect">
                      <a:avLst/>
                    </a:prstGeom>
                    <a:noFill/>
                    <a:ln>
                      <a:noFill/>
                    </a:ln>
                  </pic:spPr>
                </pic:pic>
              </a:graphicData>
            </a:graphic>
          </wp:inline>
        </w:drawing>
      </w:r>
    </w:p>
    <w:sectPr w:rsidR="00AD07E1" w:rsidRPr="0083246E" w:rsidSect="00187CAA">
      <w:footerReference w:type="default" r:id="rId12"/>
      <w:pgSz w:w="12240" w:h="15840" w:code="1"/>
      <w:pgMar w:top="864" w:right="1800" w:bottom="30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2CC7B" w14:textId="77777777" w:rsidR="005C0C06" w:rsidRDefault="005C0C06">
      <w:r>
        <w:separator/>
      </w:r>
    </w:p>
  </w:endnote>
  <w:endnote w:type="continuationSeparator" w:id="0">
    <w:p w14:paraId="13A4110C" w14:textId="77777777" w:rsidR="005C0C06" w:rsidRDefault="005C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2E67D" w14:textId="0174D90D" w:rsidR="005C0C06" w:rsidRPr="0076479E" w:rsidRDefault="005C0C06" w:rsidP="00764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D2EF6" w14:textId="77777777" w:rsidR="005C0C06" w:rsidRDefault="005C0C06">
      <w:r>
        <w:separator/>
      </w:r>
    </w:p>
  </w:footnote>
  <w:footnote w:type="continuationSeparator" w:id="0">
    <w:p w14:paraId="273D53B9" w14:textId="77777777" w:rsidR="005C0C06" w:rsidRDefault="005C0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2595"/>
    <w:multiLevelType w:val="singleLevel"/>
    <w:tmpl w:val="FE92EFA4"/>
    <w:lvl w:ilvl="0">
      <w:start w:val="2001"/>
      <w:numFmt w:val="decimal"/>
      <w:lvlText w:val="%1"/>
      <w:lvlJc w:val="left"/>
      <w:pPr>
        <w:tabs>
          <w:tab w:val="num" w:pos="1008"/>
        </w:tabs>
        <w:ind w:left="1008" w:hanging="1008"/>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D8"/>
    <w:rsid w:val="00000002"/>
    <w:rsid w:val="00002F29"/>
    <w:rsid w:val="00006117"/>
    <w:rsid w:val="000067D4"/>
    <w:rsid w:val="000079D4"/>
    <w:rsid w:val="00014800"/>
    <w:rsid w:val="000171E3"/>
    <w:rsid w:val="00023E00"/>
    <w:rsid w:val="0002777A"/>
    <w:rsid w:val="00027D65"/>
    <w:rsid w:val="0003047F"/>
    <w:rsid w:val="000305D0"/>
    <w:rsid w:val="0003127F"/>
    <w:rsid w:val="00032D60"/>
    <w:rsid w:val="00034474"/>
    <w:rsid w:val="00040F5D"/>
    <w:rsid w:val="00041C84"/>
    <w:rsid w:val="00044C94"/>
    <w:rsid w:val="00045247"/>
    <w:rsid w:val="000461BB"/>
    <w:rsid w:val="00046BFD"/>
    <w:rsid w:val="00050AC6"/>
    <w:rsid w:val="00050C9F"/>
    <w:rsid w:val="00053042"/>
    <w:rsid w:val="000531CE"/>
    <w:rsid w:val="00053B4A"/>
    <w:rsid w:val="000547E6"/>
    <w:rsid w:val="0005603F"/>
    <w:rsid w:val="000601A7"/>
    <w:rsid w:val="000611AD"/>
    <w:rsid w:val="00061F16"/>
    <w:rsid w:val="00070A02"/>
    <w:rsid w:val="0008009A"/>
    <w:rsid w:val="00081BE9"/>
    <w:rsid w:val="00083CAF"/>
    <w:rsid w:val="00084A36"/>
    <w:rsid w:val="00085944"/>
    <w:rsid w:val="00086835"/>
    <w:rsid w:val="00087D43"/>
    <w:rsid w:val="00091432"/>
    <w:rsid w:val="00093111"/>
    <w:rsid w:val="00095DFD"/>
    <w:rsid w:val="00097570"/>
    <w:rsid w:val="000A1728"/>
    <w:rsid w:val="000A39DE"/>
    <w:rsid w:val="000A64EA"/>
    <w:rsid w:val="000B25D1"/>
    <w:rsid w:val="000B6203"/>
    <w:rsid w:val="000B679A"/>
    <w:rsid w:val="000C29AA"/>
    <w:rsid w:val="000D0F8E"/>
    <w:rsid w:val="000D37FB"/>
    <w:rsid w:val="000D7BFC"/>
    <w:rsid w:val="000E3AA6"/>
    <w:rsid w:val="000E51E2"/>
    <w:rsid w:val="000F0B42"/>
    <w:rsid w:val="000F2A20"/>
    <w:rsid w:val="000F5802"/>
    <w:rsid w:val="00104F0D"/>
    <w:rsid w:val="0010561A"/>
    <w:rsid w:val="00106973"/>
    <w:rsid w:val="00115CE7"/>
    <w:rsid w:val="00116E23"/>
    <w:rsid w:val="001202D4"/>
    <w:rsid w:val="00120C87"/>
    <w:rsid w:val="0012237F"/>
    <w:rsid w:val="0012269B"/>
    <w:rsid w:val="00126E1B"/>
    <w:rsid w:val="00126F5B"/>
    <w:rsid w:val="00127B20"/>
    <w:rsid w:val="00130059"/>
    <w:rsid w:val="00131D64"/>
    <w:rsid w:val="00137E58"/>
    <w:rsid w:val="00137EEE"/>
    <w:rsid w:val="00140566"/>
    <w:rsid w:val="00141DE7"/>
    <w:rsid w:val="00154901"/>
    <w:rsid w:val="001550BB"/>
    <w:rsid w:val="001600B5"/>
    <w:rsid w:val="00162008"/>
    <w:rsid w:val="001641FF"/>
    <w:rsid w:val="001722FE"/>
    <w:rsid w:val="00173F7A"/>
    <w:rsid w:val="00176DEC"/>
    <w:rsid w:val="00183037"/>
    <w:rsid w:val="00186CED"/>
    <w:rsid w:val="001874CA"/>
    <w:rsid w:val="00187CAA"/>
    <w:rsid w:val="0019545C"/>
    <w:rsid w:val="00197D2F"/>
    <w:rsid w:val="001A5047"/>
    <w:rsid w:val="001B2061"/>
    <w:rsid w:val="001B5A19"/>
    <w:rsid w:val="001C0BC5"/>
    <w:rsid w:val="001C2595"/>
    <w:rsid w:val="001C6209"/>
    <w:rsid w:val="001C67D6"/>
    <w:rsid w:val="001D11AA"/>
    <w:rsid w:val="001D2176"/>
    <w:rsid w:val="001D457C"/>
    <w:rsid w:val="001D4E23"/>
    <w:rsid w:val="001E3A2C"/>
    <w:rsid w:val="001E40AE"/>
    <w:rsid w:val="001E55AF"/>
    <w:rsid w:val="001E63AD"/>
    <w:rsid w:val="001F2B53"/>
    <w:rsid w:val="001F4280"/>
    <w:rsid w:val="001F4FD7"/>
    <w:rsid w:val="001F5FD5"/>
    <w:rsid w:val="001F65DD"/>
    <w:rsid w:val="00200000"/>
    <w:rsid w:val="002003E8"/>
    <w:rsid w:val="002051EA"/>
    <w:rsid w:val="0020601E"/>
    <w:rsid w:val="00211AD7"/>
    <w:rsid w:val="00217768"/>
    <w:rsid w:val="002227FF"/>
    <w:rsid w:val="002229C6"/>
    <w:rsid w:val="00232067"/>
    <w:rsid w:val="00234F60"/>
    <w:rsid w:val="00237356"/>
    <w:rsid w:val="00240AF5"/>
    <w:rsid w:val="00244DE7"/>
    <w:rsid w:val="002457C6"/>
    <w:rsid w:val="0024664E"/>
    <w:rsid w:val="0025033B"/>
    <w:rsid w:val="00253651"/>
    <w:rsid w:val="00254254"/>
    <w:rsid w:val="002572F1"/>
    <w:rsid w:val="0027409D"/>
    <w:rsid w:val="002779ED"/>
    <w:rsid w:val="0028746F"/>
    <w:rsid w:val="0029248B"/>
    <w:rsid w:val="00295B40"/>
    <w:rsid w:val="002A38DD"/>
    <w:rsid w:val="002A537E"/>
    <w:rsid w:val="002A6BFA"/>
    <w:rsid w:val="002A7F21"/>
    <w:rsid w:val="002B1462"/>
    <w:rsid w:val="002B1939"/>
    <w:rsid w:val="002B2C9D"/>
    <w:rsid w:val="002B37A7"/>
    <w:rsid w:val="002B711C"/>
    <w:rsid w:val="002C21F8"/>
    <w:rsid w:val="002C4FCE"/>
    <w:rsid w:val="002C7FD4"/>
    <w:rsid w:val="002D2AAE"/>
    <w:rsid w:val="002D2FDB"/>
    <w:rsid w:val="002D405F"/>
    <w:rsid w:val="002D4416"/>
    <w:rsid w:val="002E1588"/>
    <w:rsid w:val="002E2E64"/>
    <w:rsid w:val="002E4653"/>
    <w:rsid w:val="002F1285"/>
    <w:rsid w:val="002F15E3"/>
    <w:rsid w:val="002F4243"/>
    <w:rsid w:val="002F56C1"/>
    <w:rsid w:val="003002EA"/>
    <w:rsid w:val="00305D37"/>
    <w:rsid w:val="00307528"/>
    <w:rsid w:val="00310F3D"/>
    <w:rsid w:val="0032323E"/>
    <w:rsid w:val="00323EAF"/>
    <w:rsid w:val="0033168B"/>
    <w:rsid w:val="0033583E"/>
    <w:rsid w:val="00344E11"/>
    <w:rsid w:val="00346636"/>
    <w:rsid w:val="00346B65"/>
    <w:rsid w:val="00353387"/>
    <w:rsid w:val="00361F4F"/>
    <w:rsid w:val="00362BBC"/>
    <w:rsid w:val="00364330"/>
    <w:rsid w:val="00365530"/>
    <w:rsid w:val="0037112D"/>
    <w:rsid w:val="00373B00"/>
    <w:rsid w:val="00373DA9"/>
    <w:rsid w:val="00375F79"/>
    <w:rsid w:val="0038031E"/>
    <w:rsid w:val="00380363"/>
    <w:rsid w:val="003817FC"/>
    <w:rsid w:val="00395DF6"/>
    <w:rsid w:val="003A0BAA"/>
    <w:rsid w:val="003A4B17"/>
    <w:rsid w:val="003A4F05"/>
    <w:rsid w:val="003A5110"/>
    <w:rsid w:val="003B3215"/>
    <w:rsid w:val="003B5062"/>
    <w:rsid w:val="003B5DAF"/>
    <w:rsid w:val="003B6B76"/>
    <w:rsid w:val="003C74EF"/>
    <w:rsid w:val="003D6DFF"/>
    <w:rsid w:val="003E19FC"/>
    <w:rsid w:val="003E46FE"/>
    <w:rsid w:val="003E7A1D"/>
    <w:rsid w:val="003F383D"/>
    <w:rsid w:val="004001C3"/>
    <w:rsid w:val="00402C0B"/>
    <w:rsid w:val="004032A6"/>
    <w:rsid w:val="00404D77"/>
    <w:rsid w:val="00405E50"/>
    <w:rsid w:val="004064AB"/>
    <w:rsid w:val="00406E16"/>
    <w:rsid w:val="00410ACE"/>
    <w:rsid w:val="00414301"/>
    <w:rsid w:val="0041632C"/>
    <w:rsid w:val="00420328"/>
    <w:rsid w:val="00424498"/>
    <w:rsid w:val="00430848"/>
    <w:rsid w:val="004336A6"/>
    <w:rsid w:val="00433C97"/>
    <w:rsid w:val="004342A2"/>
    <w:rsid w:val="00436A78"/>
    <w:rsid w:val="004374A5"/>
    <w:rsid w:val="00437692"/>
    <w:rsid w:val="0043769C"/>
    <w:rsid w:val="00451012"/>
    <w:rsid w:val="004511E7"/>
    <w:rsid w:val="00452898"/>
    <w:rsid w:val="004569DC"/>
    <w:rsid w:val="00464E04"/>
    <w:rsid w:val="00474FAF"/>
    <w:rsid w:val="0048068E"/>
    <w:rsid w:val="00481684"/>
    <w:rsid w:val="00483220"/>
    <w:rsid w:val="00483487"/>
    <w:rsid w:val="00485E79"/>
    <w:rsid w:val="00492074"/>
    <w:rsid w:val="00492858"/>
    <w:rsid w:val="0049478D"/>
    <w:rsid w:val="00495C6E"/>
    <w:rsid w:val="00496885"/>
    <w:rsid w:val="0049795A"/>
    <w:rsid w:val="004A14EE"/>
    <w:rsid w:val="004A4DD6"/>
    <w:rsid w:val="004B1B94"/>
    <w:rsid w:val="004B7E21"/>
    <w:rsid w:val="004B7F52"/>
    <w:rsid w:val="004C161F"/>
    <w:rsid w:val="004C1FDE"/>
    <w:rsid w:val="004E04C0"/>
    <w:rsid w:val="004E4F31"/>
    <w:rsid w:val="004E5E67"/>
    <w:rsid w:val="004F3B6B"/>
    <w:rsid w:val="00500E25"/>
    <w:rsid w:val="00503907"/>
    <w:rsid w:val="00503A83"/>
    <w:rsid w:val="005051D8"/>
    <w:rsid w:val="00506B35"/>
    <w:rsid w:val="00517230"/>
    <w:rsid w:val="00521571"/>
    <w:rsid w:val="005239A0"/>
    <w:rsid w:val="00524CD0"/>
    <w:rsid w:val="005256CD"/>
    <w:rsid w:val="00530909"/>
    <w:rsid w:val="00534493"/>
    <w:rsid w:val="00534841"/>
    <w:rsid w:val="0053543C"/>
    <w:rsid w:val="0053589C"/>
    <w:rsid w:val="00541635"/>
    <w:rsid w:val="00542014"/>
    <w:rsid w:val="00542915"/>
    <w:rsid w:val="00543A35"/>
    <w:rsid w:val="00547394"/>
    <w:rsid w:val="00547736"/>
    <w:rsid w:val="00547DC9"/>
    <w:rsid w:val="00547E9F"/>
    <w:rsid w:val="005505AF"/>
    <w:rsid w:val="00551D40"/>
    <w:rsid w:val="00552A8C"/>
    <w:rsid w:val="00553641"/>
    <w:rsid w:val="00555FAD"/>
    <w:rsid w:val="0055785A"/>
    <w:rsid w:val="0056135F"/>
    <w:rsid w:val="00564FAA"/>
    <w:rsid w:val="0057399C"/>
    <w:rsid w:val="005751E5"/>
    <w:rsid w:val="005778BB"/>
    <w:rsid w:val="0058654E"/>
    <w:rsid w:val="00590210"/>
    <w:rsid w:val="00590310"/>
    <w:rsid w:val="00592B20"/>
    <w:rsid w:val="0059556E"/>
    <w:rsid w:val="005A216A"/>
    <w:rsid w:val="005B4B86"/>
    <w:rsid w:val="005C0C06"/>
    <w:rsid w:val="005C2713"/>
    <w:rsid w:val="005C45F6"/>
    <w:rsid w:val="005D0718"/>
    <w:rsid w:val="005D3542"/>
    <w:rsid w:val="005D5978"/>
    <w:rsid w:val="005E7870"/>
    <w:rsid w:val="005F16D3"/>
    <w:rsid w:val="005F35B4"/>
    <w:rsid w:val="006025A7"/>
    <w:rsid w:val="006066F6"/>
    <w:rsid w:val="00611C5B"/>
    <w:rsid w:val="0061702F"/>
    <w:rsid w:val="00620F57"/>
    <w:rsid w:val="0062171B"/>
    <w:rsid w:val="006270F4"/>
    <w:rsid w:val="00627A11"/>
    <w:rsid w:val="00627B4C"/>
    <w:rsid w:val="00630477"/>
    <w:rsid w:val="00632F8D"/>
    <w:rsid w:val="00633793"/>
    <w:rsid w:val="00634A25"/>
    <w:rsid w:val="0064140E"/>
    <w:rsid w:val="006437C3"/>
    <w:rsid w:val="00651E47"/>
    <w:rsid w:val="00653DAA"/>
    <w:rsid w:val="00654B6B"/>
    <w:rsid w:val="00656636"/>
    <w:rsid w:val="006568E0"/>
    <w:rsid w:val="00657925"/>
    <w:rsid w:val="00661E4D"/>
    <w:rsid w:val="00662253"/>
    <w:rsid w:val="006709CB"/>
    <w:rsid w:val="006712AB"/>
    <w:rsid w:val="00675C24"/>
    <w:rsid w:val="0068138F"/>
    <w:rsid w:val="00682DDC"/>
    <w:rsid w:val="00685F5F"/>
    <w:rsid w:val="00691339"/>
    <w:rsid w:val="00692249"/>
    <w:rsid w:val="00692799"/>
    <w:rsid w:val="00695D23"/>
    <w:rsid w:val="006A1AD9"/>
    <w:rsid w:val="006A20A3"/>
    <w:rsid w:val="006A44B7"/>
    <w:rsid w:val="006A53C4"/>
    <w:rsid w:val="006A59F6"/>
    <w:rsid w:val="006B2119"/>
    <w:rsid w:val="006B5218"/>
    <w:rsid w:val="006B5AA4"/>
    <w:rsid w:val="006B6E1D"/>
    <w:rsid w:val="006C15A6"/>
    <w:rsid w:val="006C1F9F"/>
    <w:rsid w:val="006C4D6E"/>
    <w:rsid w:val="006C7E3E"/>
    <w:rsid w:val="006D26DC"/>
    <w:rsid w:val="006D33DD"/>
    <w:rsid w:val="006D3C39"/>
    <w:rsid w:val="006D4F53"/>
    <w:rsid w:val="006E031E"/>
    <w:rsid w:val="006E18B8"/>
    <w:rsid w:val="006E19BE"/>
    <w:rsid w:val="006F04B2"/>
    <w:rsid w:val="006F1F78"/>
    <w:rsid w:val="006F34F3"/>
    <w:rsid w:val="006F4019"/>
    <w:rsid w:val="00702016"/>
    <w:rsid w:val="00703FDC"/>
    <w:rsid w:val="00706BAD"/>
    <w:rsid w:val="00710716"/>
    <w:rsid w:val="007117AE"/>
    <w:rsid w:val="007118AF"/>
    <w:rsid w:val="00712A39"/>
    <w:rsid w:val="00713673"/>
    <w:rsid w:val="007175F6"/>
    <w:rsid w:val="0071778B"/>
    <w:rsid w:val="00720A8B"/>
    <w:rsid w:val="00721DF2"/>
    <w:rsid w:val="007224C7"/>
    <w:rsid w:val="00724B30"/>
    <w:rsid w:val="00727568"/>
    <w:rsid w:val="0072768C"/>
    <w:rsid w:val="007300EB"/>
    <w:rsid w:val="007325D4"/>
    <w:rsid w:val="00734F50"/>
    <w:rsid w:val="0073733E"/>
    <w:rsid w:val="0074668D"/>
    <w:rsid w:val="00754699"/>
    <w:rsid w:val="00763CA6"/>
    <w:rsid w:val="0076479E"/>
    <w:rsid w:val="00766232"/>
    <w:rsid w:val="00766814"/>
    <w:rsid w:val="007668D6"/>
    <w:rsid w:val="00772D24"/>
    <w:rsid w:val="0077671C"/>
    <w:rsid w:val="007824B3"/>
    <w:rsid w:val="00782681"/>
    <w:rsid w:val="00785FF9"/>
    <w:rsid w:val="00787CBA"/>
    <w:rsid w:val="00791CD0"/>
    <w:rsid w:val="00794C00"/>
    <w:rsid w:val="007955B4"/>
    <w:rsid w:val="007A2534"/>
    <w:rsid w:val="007A563C"/>
    <w:rsid w:val="007A7F21"/>
    <w:rsid w:val="007B26BE"/>
    <w:rsid w:val="007B2B64"/>
    <w:rsid w:val="007B604D"/>
    <w:rsid w:val="007B7FF6"/>
    <w:rsid w:val="007C2966"/>
    <w:rsid w:val="007C41EC"/>
    <w:rsid w:val="007C42CE"/>
    <w:rsid w:val="007C531E"/>
    <w:rsid w:val="007C5D78"/>
    <w:rsid w:val="007C6C3A"/>
    <w:rsid w:val="007C7650"/>
    <w:rsid w:val="007D7F97"/>
    <w:rsid w:val="007E08FD"/>
    <w:rsid w:val="007E319E"/>
    <w:rsid w:val="007E4F36"/>
    <w:rsid w:val="007E4F7A"/>
    <w:rsid w:val="007E57B6"/>
    <w:rsid w:val="007E5ED3"/>
    <w:rsid w:val="007E7670"/>
    <w:rsid w:val="007F20A0"/>
    <w:rsid w:val="007F3008"/>
    <w:rsid w:val="0080351E"/>
    <w:rsid w:val="00804CB1"/>
    <w:rsid w:val="0080502F"/>
    <w:rsid w:val="00813CCF"/>
    <w:rsid w:val="0081614D"/>
    <w:rsid w:val="0082050E"/>
    <w:rsid w:val="00826D79"/>
    <w:rsid w:val="00831759"/>
    <w:rsid w:val="0083246E"/>
    <w:rsid w:val="00833D29"/>
    <w:rsid w:val="008422D9"/>
    <w:rsid w:val="00847CA5"/>
    <w:rsid w:val="00851D2C"/>
    <w:rsid w:val="00852A45"/>
    <w:rsid w:val="00854317"/>
    <w:rsid w:val="008543FC"/>
    <w:rsid w:val="00856573"/>
    <w:rsid w:val="00864651"/>
    <w:rsid w:val="00871CFC"/>
    <w:rsid w:val="00871D83"/>
    <w:rsid w:val="0087243B"/>
    <w:rsid w:val="008917CC"/>
    <w:rsid w:val="00892EA7"/>
    <w:rsid w:val="008A05C9"/>
    <w:rsid w:val="008A0A7C"/>
    <w:rsid w:val="008A0FC9"/>
    <w:rsid w:val="008A67AD"/>
    <w:rsid w:val="008A6A9B"/>
    <w:rsid w:val="008B251C"/>
    <w:rsid w:val="008B7489"/>
    <w:rsid w:val="008D1215"/>
    <w:rsid w:val="008D2E01"/>
    <w:rsid w:val="008D3096"/>
    <w:rsid w:val="008D662F"/>
    <w:rsid w:val="008E20EA"/>
    <w:rsid w:val="008E51B6"/>
    <w:rsid w:val="008E53F7"/>
    <w:rsid w:val="008F167E"/>
    <w:rsid w:val="008F1D46"/>
    <w:rsid w:val="008F28DA"/>
    <w:rsid w:val="008F2C6A"/>
    <w:rsid w:val="008F785F"/>
    <w:rsid w:val="009026D1"/>
    <w:rsid w:val="00904A66"/>
    <w:rsid w:val="00906385"/>
    <w:rsid w:val="00906B43"/>
    <w:rsid w:val="00913727"/>
    <w:rsid w:val="00920607"/>
    <w:rsid w:val="009219EA"/>
    <w:rsid w:val="00924DE4"/>
    <w:rsid w:val="00930696"/>
    <w:rsid w:val="009311FA"/>
    <w:rsid w:val="00934287"/>
    <w:rsid w:val="00934865"/>
    <w:rsid w:val="00934B3B"/>
    <w:rsid w:val="009367B6"/>
    <w:rsid w:val="00941E45"/>
    <w:rsid w:val="009446DE"/>
    <w:rsid w:val="00945CBF"/>
    <w:rsid w:val="00950866"/>
    <w:rsid w:val="00953C70"/>
    <w:rsid w:val="00960271"/>
    <w:rsid w:val="00960ECD"/>
    <w:rsid w:val="009636EA"/>
    <w:rsid w:val="0096373D"/>
    <w:rsid w:val="00964CC2"/>
    <w:rsid w:val="0096518D"/>
    <w:rsid w:val="00965310"/>
    <w:rsid w:val="009719DE"/>
    <w:rsid w:val="009803CC"/>
    <w:rsid w:val="0098128E"/>
    <w:rsid w:val="00982970"/>
    <w:rsid w:val="00983995"/>
    <w:rsid w:val="009859ED"/>
    <w:rsid w:val="00987344"/>
    <w:rsid w:val="009907F4"/>
    <w:rsid w:val="009921AE"/>
    <w:rsid w:val="00992291"/>
    <w:rsid w:val="00992A23"/>
    <w:rsid w:val="009952AE"/>
    <w:rsid w:val="009954F1"/>
    <w:rsid w:val="009A1938"/>
    <w:rsid w:val="009A62F4"/>
    <w:rsid w:val="009A70C7"/>
    <w:rsid w:val="009A72FE"/>
    <w:rsid w:val="009B2195"/>
    <w:rsid w:val="009B6854"/>
    <w:rsid w:val="009C4721"/>
    <w:rsid w:val="009C7CD2"/>
    <w:rsid w:val="009D0639"/>
    <w:rsid w:val="009D0795"/>
    <w:rsid w:val="009D0F72"/>
    <w:rsid w:val="009D7973"/>
    <w:rsid w:val="009E255D"/>
    <w:rsid w:val="009E2923"/>
    <w:rsid w:val="009E6901"/>
    <w:rsid w:val="009F02EF"/>
    <w:rsid w:val="009F1403"/>
    <w:rsid w:val="009F549D"/>
    <w:rsid w:val="00A0583B"/>
    <w:rsid w:val="00A059EC"/>
    <w:rsid w:val="00A05D14"/>
    <w:rsid w:val="00A06A60"/>
    <w:rsid w:val="00A21B34"/>
    <w:rsid w:val="00A30391"/>
    <w:rsid w:val="00A322F7"/>
    <w:rsid w:val="00A323C6"/>
    <w:rsid w:val="00A345BA"/>
    <w:rsid w:val="00A4264E"/>
    <w:rsid w:val="00A42DC5"/>
    <w:rsid w:val="00A47E21"/>
    <w:rsid w:val="00A52B26"/>
    <w:rsid w:val="00A53B10"/>
    <w:rsid w:val="00A56CC3"/>
    <w:rsid w:val="00A56FB2"/>
    <w:rsid w:val="00A57941"/>
    <w:rsid w:val="00A615CD"/>
    <w:rsid w:val="00A63EA8"/>
    <w:rsid w:val="00A66D22"/>
    <w:rsid w:val="00A67431"/>
    <w:rsid w:val="00A67C86"/>
    <w:rsid w:val="00A7050C"/>
    <w:rsid w:val="00A71561"/>
    <w:rsid w:val="00A72A62"/>
    <w:rsid w:val="00A730AC"/>
    <w:rsid w:val="00A8553F"/>
    <w:rsid w:val="00A91375"/>
    <w:rsid w:val="00A92F8D"/>
    <w:rsid w:val="00A94F86"/>
    <w:rsid w:val="00A95051"/>
    <w:rsid w:val="00A96D5E"/>
    <w:rsid w:val="00A97D6F"/>
    <w:rsid w:val="00AA06BD"/>
    <w:rsid w:val="00AA3F15"/>
    <w:rsid w:val="00AB0154"/>
    <w:rsid w:val="00AC0783"/>
    <w:rsid w:val="00AC66AA"/>
    <w:rsid w:val="00AC7FAD"/>
    <w:rsid w:val="00AD07E1"/>
    <w:rsid w:val="00AD2EA4"/>
    <w:rsid w:val="00AE15DF"/>
    <w:rsid w:val="00AE5177"/>
    <w:rsid w:val="00AF0907"/>
    <w:rsid w:val="00AF50A8"/>
    <w:rsid w:val="00B0496D"/>
    <w:rsid w:val="00B05FEF"/>
    <w:rsid w:val="00B06275"/>
    <w:rsid w:val="00B14B35"/>
    <w:rsid w:val="00B24B17"/>
    <w:rsid w:val="00B279B3"/>
    <w:rsid w:val="00B279F1"/>
    <w:rsid w:val="00B3592A"/>
    <w:rsid w:val="00B359A9"/>
    <w:rsid w:val="00B377F3"/>
    <w:rsid w:val="00B427CD"/>
    <w:rsid w:val="00B43404"/>
    <w:rsid w:val="00B46CD0"/>
    <w:rsid w:val="00B55BCE"/>
    <w:rsid w:val="00B55F49"/>
    <w:rsid w:val="00B60034"/>
    <w:rsid w:val="00B61AB5"/>
    <w:rsid w:val="00B648DB"/>
    <w:rsid w:val="00B67B0A"/>
    <w:rsid w:val="00B67BD1"/>
    <w:rsid w:val="00B75FA2"/>
    <w:rsid w:val="00B7601A"/>
    <w:rsid w:val="00B776B3"/>
    <w:rsid w:val="00B77CC6"/>
    <w:rsid w:val="00B80F4C"/>
    <w:rsid w:val="00B82FE3"/>
    <w:rsid w:val="00B845D0"/>
    <w:rsid w:val="00B87153"/>
    <w:rsid w:val="00B87897"/>
    <w:rsid w:val="00B910DC"/>
    <w:rsid w:val="00B91E01"/>
    <w:rsid w:val="00B971C7"/>
    <w:rsid w:val="00B97242"/>
    <w:rsid w:val="00B97433"/>
    <w:rsid w:val="00BA467E"/>
    <w:rsid w:val="00BB38AC"/>
    <w:rsid w:val="00BB3CA6"/>
    <w:rsid w:val="00BB64FF"/>
    <w:rsid w:val="00BC2357"/>
    <w:rsid w:val="00BC3743"/>
    <w:rsid w:val="00BC459A"/>
    <w:rsid w:val="00BC4DDF"/>
    <w:rsid w:val="00BC61AF"/>
    <w:rsid w:val="00BC68D9"/>
    <w:rsid w:val="00BC7AE5"/>
    <w:rsid w:val="00BD07DC"/>
    <w:rsid w:val="00BD2A14"/>
    <w:rsid w:val="00BD2DF8"/>
    <w:rsid w:val="00BD6DC7"/>
    <w:rsid w:val="00BE024E"/>
    <w:rsid w:val="00BE2E1F"/>
    <w:rsid w:val="00BE4089"/>
    <w:rsid w:val="00BE5557"/>
    <w:rsid w:val="00BE7D3B"/>
    <w:rsid w:val="00BF23CE"/>
    <w:rsid w:val="00BF7913"/>
    <w:rsid w:val="00C024BF"/>
    <w:rsid w:val="00C05E3A"/>
    <w:rsid w:val="00C0652A"/>
    <w:rsid w:val="00C104F9"/>
    <w:rsid w:val="00C1131C"/>
    <w:rsid w:val="00C231FD"/>
    <w:rsid w:val="00C30E4C"/>
    <w:rsid w:val="00C41ABD"/>
    <w:rsid w:val="00C5269E"/>
    <w:rsid w:val="00C57930"/>
    <w:rsid w:val="00C62B9F"/>
    <w:rsid w:val="00C65100"/>
    <w:rsid w:val="00C66A51"/>
    <w:rsid w:val="00C67AB5"/>
    <w:rsid w:val="00C764FB"/>
    <w:rsid w:val="00C80460"/>
    <w:rsid w:val="00C903F2"/>
    <w:rsid w:val="00C91421"/>
    <w:rsid w:val="00C941D3"/>
    <w:rsid w:val="00C95407"/>
    <w:rsid w:val="00CA321C"/>
    <w:rsid w:val="00CA3803"/>
    <w:rsid w:val="00CA4384"/>
    <w:rsid w:val="00CB2CFA"/>
    <w:rsid w:val="00CB3AB4"/>
    <w:rsid w:val="00CC2745"/>
    <w:rsid w:val="00CC3C7A"/>
    <w:rsid w:val="00CC4B02"/>
    <w:rsid w:val="00CC5D1E"/>
    <w:rsid w:val="00CD15FB"/>
    <w:rsid w:val="00CD186C"/>
    <w:rsid w:val="00CD2EC1"/>
    <w:rsid w:val="00CD3D8D"/>
    <w:rsid w:val="00CD67E9"/>
    <w:rsid w:val="00CD7DED"/>
    <w:rsid w:val="00CE002D"/>
    <w:rsid w:val="00CE614A"/>
    <w:rsid w:val="00CE7412"/>
    <w:rsid w:val="00CE7ED6"/>
    <w:rsid w:val="00CF3EB0"/>
    <w:rsid w:val="00CF65CB"/>
    <w:rsid w:val="00CF6D60"/>
    <w:rsid w:val="00D01812"/>
    <w:rsid w:val="00D07BAE"/>
    <w:rsid w:val="00D145C2"/>
    <w:rsid w:val="00D1651B"/>
    <w:rsid w:val="00D2489B"/>
    <w:rsid w:val="00D301DD"/>
    <w:rsid w:val="00D3089C"/>
    <w:rsid w:val="00D31134"/>
    <w:rsid w:val="00D316B4"/>
    <w:rsid w:val="00D470FE"/>
    <w:rsid w:val="00D5097E"/>
    <w:rsid w:val="00D51C83"/>
    <w:rsid w:val="00D539A5"/>
    <w:rsid w:val="00D57794"/>
    <w:rsid w:val="00D60E4A"/>
    <w:rsid w:val="00D631D4"/>
    <w:rsid w:val="00D72933"/>
    <w:rsid w:val="00D73441"/>
    <w:rsid w:val="00D75E7B"/>
    <w:rsid w:val="00D77E55"/>
    <w:rsid w:val="00D80ADB"/>
    <w:rsid w:val="00D84EFA"/>
    <w:rsid w:val="00D945C4"/>
    <w:rsid w:val="00D95738"/>
    <w:rsid w:val="00D96788"/>
    <w:rsid w:val="00DA0075"/>
    <w:rsid w:val="00DA5E71"/>
    <w:rsid w:val="00DA65AC"/>
    <w:rsid w:val="00DB296A"/>
    <w:rsid w:val="00DB31FA"/>
    <w:rsid w:val="00DB4916"/>
    <w:rsid w:val="00DB673E"/>
    <w:rsid w:val="00DB68E6"/>
    <w:rsid w:val="00DC121E"/>
    <w:rsid w:val="00DC5FDF"/>
    <w:rsid w:val="00DC7D8A"/>
    <w:rsid w:val="00DD4421"/>
    <w:rsid w:val="00DD76EB"/>
    <w:rsid w:val="00DE15D1"/>
    <w:rsid w:val="00DE3C33"/>
    <w:rsid w:val="00DE5AE4"/>
    <w:rsid w:val="00DE6E70"/>
    <w:rsid w:val="00DE72E7"/>
    <w:rsid w:val="00DE7767"/>
    <w:rsid w:val="00DF0A82"/>
    <w:rsid w:val="00DF52FD"/>
    <w:rsid w:val="00DF70B3"/>
    <w:rsid w:val="00E042AE"/>
    <w:rsid w:val="00E1069F"/>
    <w:rsid w:val="00E16F39"/>
    <w:rsid w:val="00E20A1E"/>
    <w:rsid w:val="00E2615E"/>
    <w:rsid w:val="00E26920"/>
    <w:rsid w:val="00E27947"/>
    <w:rsid w:val="00E3041E"/>
    <w:rsid w:val="00E30709"/>
    <w:rsid w:val="00E34061"/>
    <w:rsid w:val="00E357A6"/>
    <w:rsid w:val="00E4122B"/>
    <w:rsid w:val="00E42ADF"/>
    <w:rsid w:val="00E431CE"/>
    <w:rsid w:val="00E5279C"/>
    <w:rsid w:val="00E57716"/>
    <w:rsid w:val="00E6258B"/>
    <w:rsid w:val="00E62FA6"/>
    <w:rsid w:val="00E633C7"/>
    <w:rsid w:val="00E65CC4"/>
    <w:rsid w:val="00E67F03"/>
    <w:rsid w:val="00E75A60"/>
    <w:rsid w:val="00E76329"/>
    <w:rsid w:val="00E766BB"/>
    <w:rsid w:val="00E81DBD"/>
    <w:rsid w:val="00E8406E"/>
    <w:rsid w:val="00E846CE"/>
    <w:rsid w:val="00E90942"/>
    <w:rsid w:val="00E92668"/>
    <w:rsid w:val="00E9463C"/>
    <w:rsid w:val="00E97217"/>
    <w:rsid w:val="00EA17C6"/>
    <w:rsid w:val="00EB053F"/>
    <w:rsid w:val="00EB6231"/>
    <w:rsid w:val="00EB74E8"/>
    <w:rsid w:val="00EC0421"/>
    <w:rsid w:val="00EC3056"/>
    <w:rsid w:val="00EC45AB"/>
    <w:rsid w:val="00EC535B"/>
    <w:rsid w:val="00EC71DA"/>
    <w:rsid w:val="00ED08EF"/>
    <w:rsid w:val="00ED21B6"/>
    <w:rsid w:val="00ED702A"/>
    <w:rsid w:val="00EE100A"/>
    <w:rsid w:val="00EE32AE"/>
    <w:rsid w:val="00EE4A9A"/>
    <w:rsid w:val="00EE59E5"/>
    <w:rsid w:val="00EF0E00"/>
    <w:rsid w:val="00EF384F"/>
    <w:rsid w:val="00F0378E"/>
    <w:rsid w:val="00F03BF8"/>
    <w:rsid w:val="00F0603A"/>
    <w:rsid w:val="00F06CC4"/>
    <w:rsid w:val="00F203E2"/>
    <w:rsid w:val="00F26347"/>
    <w:rsid w:val="00F279D4"/>
    <w:rsid w:val="00F27AE4"/>
    <w:rsid w:val="00F42D6E"/>
    <w:rsid w:val="00F45961"/>
    <w:rsid w:val="00F463F5"/>
    <w:rsid w:val="00F46AC8"/>
    <w:rsid w:val="00F47B2C"/>
    <w:rsid w:val="00F52690"/>
    <w:rsid w:val="00F5698E"/>
    <w:rsid w:val="00F56B3C"/>
    <w:rsid w:val="00F60565"/>
    <w:rsid w:val="00F61625"/>
    <w:rsid w:val="00F62828"/>
    <w:rsid w:val="00F6457E"/>
    <w:rsid w:val="00F7010B"/>
    <w:rsid w:val="00F7023C"/>
    <w:rsid w:val="00F81EC7"/>
    <w:rsid w:val="00F86A56"/>
    <w:rsid w:val="00F9660B"/>
    <w:rsid w:val="00FA2808"/>
    <w:rsid w:val="00FA70BD"/>
    <w:rsid w:val="00FA71A2"/>
    <w:rsid w:val="00FB5B2C"/>
    <w:rsid w:val="00FB7167"/>
    <w:rsid w:val="00FC0856"/>
    <w:rsid w:val="00FC10F4"/>
    <w:rsid w:val="00FC373D"/>
    <w:rsid w:val="00FD7254"/>
    <w:rsid w:val="00FE20BF"/>
    <w:rsid w:val="00FE2C78"/>
    <w:rsid w:val="00FE32DB"/>
    <w:rsid w:val="00FF0B26"/>
    <w:rsid w:val="00FF2F43"/>
    <w:rsid w:val="00FF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4AC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7FF"/>
    <w:rPr>
      <w:sz w:val="20"/>
      <w:szCs w:val="20"/>
    </w:rPr>
  </w:style>
  <w:style w:type="paragraph" w:styleId="Heading2">
    <w:name w:val="heading 2"/>
    <w:basedOn w:val="Normal"/>
    <w:next w:val="Normal"/>
    <w:link w:val="Heading2Char"/>
    <w:uiPriority w:val="99"/>
    <w:qFormat/>
    <w:rsid w:val="00E6258B"/>
    <w:pPr>
      <w:keepNext/>
      <w:autoSpaceDE w:val="0"/>
      <w:autoSpaceDN w:val="0"/>
      <w:ind w:right="-720"/>
      <w:outlineLvl w:val="1"/>
    </w:pPr>
    <w:rPr>
      <w:rFonts w:ascii="CG Times (WN)" w:hAnsi="CG Times (WN)"/>
      <w:b/>
      <w:bCs/>
      <w:u w:val="single"/>
    </w:rPr>
  </w:style>
  <w:style w:type="paragraph" w:styleId="Heading3">
    <w:name w:val="heading 3"/>
    <w:basedOn w:val="Normal"/>
    <w:next w:val="Normal"/>
    <w:link w:val="Heading3Char"/>
    <w:uiPriority w:val="99"/>
    <w:qFormat/>
    <w:rsid w:val="00E6258B"/>
    <w:pPr>
      <w:keepNext/>
      <w:overflowPunct w:val="0"/>
      <w:autoSpaceDE w:val="0"/>
      <w:autoSpaceDN w:val="0"/>
      <w:adjustRightInd w:val="0"/>
      <w:jc w:val="right"/>
      <w:textAlignment w:val="baseline"/>
      <w:outlineLvl w:val="2"/>
    </w:pPr>
    <w:rPr>
      <w:rFonts w:ascii="CG Times (WN)" w:hAnsi="CG Times (WN)"/>
      <w:u w:val="single"/>
    </w:rPr>
  </w:style>
  <w:style w:type="paragraph" w:styleId="Heading4">
    <w:name w:val="heading 4"/>
    <w:basedOn w:val="Normal"/>
    <w:next w:val="Normal"/>
    <w:link w:val="Heading4Char"/>
    <w:uiPriority w:val="99"/>
    <w:qFormat/>
    <w:rsid w:val="00E6258B"/>
    <w:pPr>
      <w:keepNext/>
      <w:tabs>
        <w:tab w:val="center" w:pos="8640"/>
      </w:tabs>
      <w:autoSpaceDE w:val="0"/>
      <w:autoSpaceDN w:val="0"/>
      <w:ind w:right="-720"/>
      <w:jc w:val="both"/>
      <w:outlineLvl w:val="3"/>
    </w:pPr>
    <w:rPr>
      <w:rFonts w:ascii="CG Times (WN)" w:hAnsi="CG Times (W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066F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066F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066F6"/>
    <w:rPr>
      <w:rFonts w:ascii="Calibri" w:hAnsi="Calibri" w:cs="Times New Roman"/>
      <w:b/>
      <w:bCs/>
      <w:sz w:val="28"/>
      <w:szCs w:val="28"/>
    </w:rPr>
  </w:style>
  <w:style w:type="paragraph" w:styleId="Title">
    <w:name w:val="Title"/>
    <w:basedOn w:val="Normal"/>
    <w:link w:val="TitleChar"/>
    <w:uiPriority w:val="99"/>
    <w:qFormat/>
    <w:rsid w:val="002227FF"/>
    <w:pPr>
      <w:jc w:val="center"/>
    </w:pPr>
    <w:rPr>
      <w:b/>
    </w:rPr>
  </w:style>
  <w:style w:type="character" w:customStyle="1" w:styleId="TitleChar">
    <w:name w:val="Title Char"/>
    <w:basedOn w:val="DefaultParagraphFont"/>
    <w:link w:val="Title"/>
    <w:uiPriority w:val="99"/>
    <w:locked/>
    <w:rsid w:val="006066F6"/>
    <w:rPr>
      <w:rFonts w:ascii="Cambria" w:hAnsi="Cambria" w:cs="Times New Roman"/>
      <w:b/>
      <w:bCs/>
      <w:kern w:val="28"/>
      <w:sz w:val="32"/>
      <w:szCs w:val="32"/>
    </w:rPr>
  </w:style>
  <w:style w:type="paragraph" w:styleId="BodyText">
    <w:name w:val="Body Text"/>
    <w:basedOn w:val="Normal"/>
    <w:link w:val="BodyTextChar"/>
    <w:uiPriority w:val="99"/>
    <w:rsid w:val="002227FF"/>
    <w:pPr>
      <w:jc w:val="both"/>
    </w:pPr>
  </w:style>
  <w:style w:type="character" w:customStyle="1" w:styleId="BodyTextChar">
    <w:name w:val="Body Text Char"/>
    <w:basedOn w:val="DefaultParagraphFont"/>
    <w:link w:val="BodyText"/>
    <w:uiPriority w:val="99"/>
    <w:semiHidden/>
    <w:locked/>
    <w:rsid w:val="006066F6"/>
    <w:rPr>
      <w:rFonts w:cs="Times New Roman"/>
      <w:sz w:val="20"/>
      <w:szCs w:val="20"/>
    </w:rPr>
  </w:style>
  <w:style w:type="character" w:styleId="Hyperlink">
    <w:name w:val="Hyperlink"/>
    <w:basedOn w:val="DefaultParagraphFont"/>
    <w:uiPriority w:val="99"/>
    <w:rsid w:val="002227FF"/>
    <w:rPr>
      <w:rFonts w:cs="Times New Roman"/>
      <w:color w:val="0000FF"/>
      <w:u w:val="single"/>
    </w:rPr>
  </w:style>
  <w:style w:type="paragraph" w:styleId="TableofFigures">
    <w:name w:val="table of figures"/>
    <w:basedOn w:val="Normal"/>
    <w:next w:val="Normal"/>
    <w:uiPriority w:val="99"/>
    <w:semiHidden/>
    <w:rsid w:val="002227FF"/>
    <w:pPr>
      <w:ind w:left="400" w:hanging="400"/>
    </w:pPr>
  </w:style>
  <w:style w:type="paragraph" w:styleId="Header">
    <w:name w:val="header"/>
    <w:basedOn w:val="Normal"/>
    <w:link w:val="HeaderChar"/>
    <w:uiPriority w:val="99"/>
    <w:rsid w:val="002227FF"/>
    <w:pPr>
      <w:tabs>
        <w:tab w:val="center" w:pos="4320"/>
        <w:tab w:val="right" w:pos="8640"/>
      </w:tabs>
    </w:pPr>
  </w:style>
  <w:style w:type="character" w:customStyle="1" w:styleId="HeaderChar">
    <w:name w:val="Header Char"/>
    <w:basedOn w:val="DefaultParagraphFont"/>
    <w:link w:val="Header"/>
    <w:uiPriority w:val="99"/>
    <w:semiHidden/>
    <w:locked/>
    <w:rsid w:val="006066F6"/>
    <w:rPr>
      <w:rFonts w:cs="Times New Roman"/>
      <w:sz w:val="20"/>
      <w:szCs w:val="20"/>
    </w:rPr>
  </w:style>
  <w:style w:type="paragraph" w:styleId="Footer">
    <w:name w:val="footer"/>
    <w:basedOn w:val="Normal"/>
    <w:link w:val="FooterChar"/>
    <w:uiPriority w:val="99"/>
    <w:rsid w:val="002227FF"/>
    <w:pPr>
      <w:tabs>
        <w:tab w:val="center" w:pos="4320"/>
        <w:tab w:val="right" w:pos="8640"/>
      </w:tabs>
    </w:pPr>
  </w:style>
  <w:style w:type="character" w:customStyle="1" w:styleId="FooterChar">
    <w:name w:val="Footer Char"/>
    <w:basedOn w:val="DefaultParagraphFont"/>
    <w:link w:val="Footer"/>
    <w:uiPriority w:val="99"/>
    <w:semiHidden/>
    <w:locked/>
    <w:rsid w:val="006066F6"/>
    <w:rPr>
      <w:rFonts w:cs="Times New Roman"/>
      <w:sz w:val="20"/>
      <w:szCs w:val="20"/>
    </w:rPr>
  </w:style>
  <w:style w:type="paragraph" w:styleId="BodyText2">
    <w:name w:val="Body Text 2"/>
    <w:basedOn w:val="Normal"/>
    <w:link w:val="BodyText2Char"/>
    <w:uiPriority w:val="99"/>
    <w:rsid w:val="002227FF"/>
    <w:pPr>
      <w:jc w:val="center"/>
    </w:pPr>
  </w:style>
  <w:style w:type="character" w:customStyle="1" w:styleId="BodyText2Char">
    <w:name w:val="Body Text 2 Char"/>
    <w:basedOn w:val="DefaultParagraphFont"/>
    <w:link w:val="BodyText2"/>
    <w:uiPriority w:val="99"/>
    <w:semiHidden/>
    <w:locked/>
    <w:rsid w:val="006066F6"/>
    <w:rPr>
      <w:rFonts w:cs="Times New Roman"/>
      <w:sz w:val="20"/>
      <w:szCs w:val="20"/>
    </w:rPr>
  </w:style>
  <w:style w:type="paragraph" w:styleId="FootnoteText">
    <w:name w:val="footnote text"/>
    <w:basedOn w:val="Normal"/>
    <w:link w:val="FootnoteTextChar"/>
    <w:uiPriority w:val="99"/>
    <w:semiHidden/>
    <w:rsid w:val="002227FF"/>
  </w:style>
  <w:style w:type="character" w:customStyle="1" w:styleId="FootnoteTextChar">
    <w:name w:val="Footnote Text Char"/>
    <w:basedOn w:val="DefaultParagraphFont"/>
    <w:link w:val="FootnoteText"/>
    <w:uiPriority w:val="99"/>
    <w:semiHidden/>
    <w:locked/>
    <w:rsid w:val="006066F6"/>
    <w:rPr>
      <w:rFonts w:cs="Times New Roman"/>
      <w:sz w:val="20"/>
      <w:szCs w:val="20"/>
    </w:rPr>
  </w:style>
  <w:style w:type="character" w:styleId="FootnoteReference">
    <w:name w:val="footnote reference"/>
    <w:basedOn w:val="DefaultParagraphFont"/>
    <w:uiPriority w:val="99"/>
    <w:semiHidden/>
    <w:rsid w:val="002227FF"/>
    <w:rPr>
      <w:rFonts w:cs="Times New Roman"/>
      <w:vertAlign w:val="superscript"/>
    </w:rPr>
  </w:style>
  <w:style w:type="character" w:styleId="PageNumber">
    <w:name w:val="page number"/>
    <w:basedOn w:val="DefaultParagraphFont"/>
    <w:uiPriority w:val="99"/>
    <w:rsid w:val="002227FF"/>
    <w:rPr>
      <w:rFonts w:cs="Times New Roman"/>
    </w:rPr>
  </w:style>
  <w:style w:type="paragraph" w:styleId="BodyTextIndent">
    <w:name w:val="Body Text Indent"/>
    <w:basedOn w:val="Normal"/>
    <w:link w:val="BodyTextIndentChar"/>
    <w:uiPriority w:val="99"/>
    <w:rsid w:val="002227FF"/>
    <w:pPr>
      <w:spacing w:before="240"/>
      <w:ind w:left="720" w:hanging="720"/>
    </w:pPr>
    <w:rPr>
      <w:sz w:val="22"/>
    </w:rPr>
  </w:style>
  <w:style w:type="character" w:customStyle="1" w:styleId="BodyTextIndentChar">
    <w:name w:val="Body Text Indent Char"/>
    <w:basedOn w:val="DefaultParagraphFont"/>
    <w:link w:val="BodyTextIndent"/>
    <w:uiPriority w:val="99"/>
    <w:semiHidden/>
    <w:locked/>
    <w:rsid w:val="006066F6"/>
    <w:rPr>
      <w:rFonts w:cs="Times New Roman"/>
      <w:sz w:val="20"/>
      <w:szCs w:val="20"/>
    </w:rPr>
  </w:style>
  <w:style w:type="paragraph" w:styleId="BalloonText">
    <w:name w:val="Balloon Text"/>
    <w:basedOn w:val="Normal"/>
    <w:link w:val="BalloonTextChar"/>
    <w:uiPriority w:val="99"/>
    <w:semiHidden/>
    <w:rsid w:val="005358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6F6"/>
    <w:rPr>
      <w:rFonts w:cs="Times New Roman"/>
      <w:sz w:val="2"/>
    </w:rPr>
  </w:style>
  <w:style w:type="character" w:styleId="CommentReference">
    <w:name w:val="annotation reference"/>
    <w:basedOn w:val="DefaultParagraphFont"/>
    <w:uiPriority w:val="99"/>
    <w:semiHidden/>
    <w:rsid w:val="00CC5D1E"/>
    <w:rPr>
      <w:rFonts w:cs="Times New Roman"/>
      <w:sz w:val="16"/>
      <w:szCs w:val="16"/>
    </w:rPr>
  </w:style>
  <w:style w:type="paragraph" w:styleId="CommentText">
    <w:name w:val="annotation text"/>
    <w:basedOn w:val="Normal"/>
    <w:link w:val="CommentTextChar"/>
    <w:uiPriority w:val="99"/>
    <w:semiHidden/>
    <w:rsid w:val="00CC5D1E"/>
  </w:style>
  <w:style w:type="character" w:customStyle="1" w:styleId="CommentTextChar">
    <w:name w:val="Comment Text Char"/>
    <w:basedOn w:val="DefaultParagraphFont"/>
    <w:link w:val="CommentText"/>
    <w:uiPriority w:val="99"/>
    <w:semiHidden/>
    <w:locked/>
    <w:rsid w:val="006066F6"/>
    <w:rPr>
      <w:rFonts w:cs="Times New Roman"/>
      <w:sz w:val="20"/>
      <w:szCs w:val="20"/>
    </w:rPr>
  </w:style>
  <w:style w:type="paragraph" w:styleId="CommentSubject">
    <w:name w:val="annotation subject"/>
    <w:basedOn w:val="CommentText"/>
    <w:next w:val="CommentText"/>
    <w:link w:val="CommentSubjectChar"/>
    <w:uiPriority w:val="99"/>
    <w:semiHidden/>
    <w:rsid w:val="00CC5D1E"/>
    <w:rPr>
      <w:b/>
      <w:bCs/>
    </w:rPr>
  </w:style>
  <w:style w:type="character" w:customStyle="1" w:styleId="CommentSubjectChar">
    <w:name w:val="Comment Subject Char"/>
    <w:basedOn w:val="CommentTextChar"/>
    <w:link w:val="CommentSubject"/>
    <w:uiPriority w:val="99"/>
    <w:semiHidden/>
    <w:locked/>
    <w:rsid w:val="006066F6"/>
    <w:rPr>
      <w:rFonts w:cs="Times New Roman"/>
      <w:b/>
      <w:bCs/>
      <w:sz w:val="20"/>
      <w:szCs w:val="20"/>
    </w:rPr>
  </w:style>
  <w:style w:type="paragraph" w:styleId="Caption">
    <w:name w:val="caption"/>
    <w:basedOn w:val="Normal"/>
    <w:next w:val="Normal"/>
    <w:uiPriority w:val="99"/>
    <w:qFormat/>
    <w:rsid w:val="00464E0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overflowPunct w:val="0"/>
      <w:autoSpaceDE w:val="0"/>
      <w:autoSpaceDN w:val="0"/>
      <w:adjustRightInd w:val="0"/>
      <w:jc w:val="center"/>
      <w:textAlignment w:val="baseline"/>
    </w:pPr>
    <w:rPr>
      <w:rFonts w:ascii="CG Times (WN)" w:hAnsi="CG Times (WN)"/>
      <w:b/>
      <w:smallCaps/>
      <w:sz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7FF"/>
    <w:rPr>
      <w:sz w:val="20"/>
      <w:szCs w:val="20"/>
    </w:rPr>
  </w:style>
  <w:style w:type="paragraph" w:styleId="Heading2">
    <w:name w:val="heading 2"/>
    <w:basedOn w:val="Normal"/>
    <w:next w:val="Normal"/>
    <w:link w:val="Heading2Char"/>
    <w:uiPriority w:val="99"/>
    <w:qFormat/>
    <w:rsid w:val="00E6258B"/>
    <w:pPr>
      <w:keepNext/>
      <w:autoSpaceDE w:val="0"/>
      <w:autoSpaceDN w:val="0"/>
      <w:ind w:right="-720"/>
      <w:outlineLvl w:val="1"/>
    </w:pPr>
    <w:rPr>
      <w:rFonts w:ascii="CG Times (WN)" w:hAnsi="CG Times (WN)"/>
      <w:b/>
      <w:bCs/>
      <w:u w:val="single"/>
    </w:rPr>
  </w:style>
  <w:style w:type="paragraph" w:styleId="Heading3">
    <w:name w:val="heading 3"/>
    <w:basedOn w:val="Normal"/>
    <w:next w:val="Normal"/>
    <w:link w:val="Heading3Char"/>
    <w:uiPriority w:val="99"/>
    <w:qFormat/>
    <w:rsid w:val="00E6258B"/>
    <w:pPr>
      <w:keepNext/>
      <w:overflowPunct w:val="0"/>
      <w:autoSpaceDE w:val="0"/>
      <w:autoSpaceDN w:val="0"/>
      <w:adjustRightInd w:val="0"/>
      <w:jc w:val="right"/>
      <w:textAlignment w:val="baseline"/>
      <w:outlineLvl w:val="2"/>
    </w:pPr>
    <w:rPr>
      <w:rFonts w:ascii="CG Times (WN)" w:hAnsi="CG Times (WN)"/>
      <w:u w:val="single"/>
    </w:rPr>
  </w:style>
  <w:style w:type="paragraph" w:styleId="Heading4">
    <w:name w:val="heading 4"/>
    <w:basedOn w:val="Normal"/>
    <w:next w:val="Normal"/>
    <w:link w:val="Heading4Char"/>
    <w:uiPriority w:val="99"/>
    <w:qFormat/>
    <w:rsid w:val="00E6258B"/>
    <w:pPr>
      <w:keepNext/>
      <w:tabs>
        <w:tab w:val="center" w:pos="8640"/>
      </w:tabs>
      <w:autoSpaceDE w:val="0"/>
      <w:autoSpaceDN w:val="0"/>
      <w:ind w:right="-720"/>
      <w:jc w:val="both"/>
      <w:outlineLvl w:val="3"/>
    </w:pPr>
    <w:rPr>
      <w:rFonts w:ascii="CG Times (WN)" w:hAnsi="CG Times (W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066F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066F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066F6"/>
    <w:rPr>
      <w:rFonts w:ascii="Calibri" w:hAnsi="Calibri" w:cs="Times New Roman"/>
      <w:b/>
      <w:bCs/>
      <w:sz w:val="28"/>
      <w:szCs w:val="28"/>
    </w:rPr>
  </w:style>
  <w:style w:type="paragraph" w:styleId="Title">
    <w:name w:val="Title"/>
    <w:basedOn w:val="Normal"/>
    <w:link w:val="TitleChar"/>
    <w:uiPriority w:val="99"/>
    <w:qFormat/>
    <w:rsid w:val="002227FF"/>
    <w:pPr>
      <w:jc w:val="center"/>
    </w:pPr>
    <w:rPr>
      <w:b/>
    </w:rPr>
  </w:style>
  <w:style w:type="character" w:customStyle="1" w:styleId="TitleChar">
    <w:name w:val="Title Char"/>
    <w:basedOn w:val="DefaultParagraphFont"/>
    <w:link w:val="Title"/>
    <w:uiPriority w:val="99"/>
    <w:locked/>
    <w:rsid w:val="006066F6"/>
    <w:rPr>
      <w:rFonts w:ascii="Cambria" w:hAnsi="Cambria" w:cs="Times New Roman"/>
      <w:b/>
      <w:bCs/>
      <w:kern w:val="28"/>
      <w:sz w:val="32"/>
      <w:szCs w:val="32"/>
    </w:rPr>
  </w:style>
  <w:style w:type="paragraph" w:styleId="BodyText">
    <w:name w:val="Body Text"/>
    <w:basedOn w:val="Normal"/>
    <w:link w:val="BodyTextChar"/>
    <w:uiPriority w:val="99"/>
    <w:rsid w:val="002227FF"/>
    <w:pPr>
      <w:jc w:val="both"/>
    </w:pPr>
  </w:style>
  <w:style w:type="character" w:customStyle="1" w:styleId="BodyTextChar">
    <w:name w:val="Body Text Char"/>
    <w:basedOn w:val="DefaultParagraphFont"/>
    <w:link w:val="BodyText"/>
    <w:uiPriority w:val="99"/>
    <w:semiHidden/>
    <w:locked/>
    <w:rsid w:val="006066F6"/>
    <w:rPr>
      <w:rFonts w:cs="Times New Roman"/>
      <w:sz w:val="20"/>
      <w:szCs w:val="20"/>
    </w:rPr>
  </w:style>
  <w:style w:type="character" w:styleId="Hyperlink">
    <w:name w:val="Hyperlink"/>
    <w:basedOn w:val="DefaultParagraphFont"/>
    <w:uiPriority w:val="99"/>
    <w:rsid w:val="002227FF"/>
    <w:rPr>
      <w:rFonts w:cs="Times New Roman"/>
      <w:color w:val="0000FF"/>
      <w:u w:val="single"/>
    </w:rPr>
  </w:style>
  <w:style w:type="paragraph" w:styleId="TableofFigures">
    <w:name w:val="table of figures"/>
    <w:basedOn w:val="Normal"/>
    <w:next w:val="Normal"/>
    <w:uiPriority w:val="99"/>
    <w:semiHidden/>
    <w:rsid w:val="002227FF"/>
    <w:pPr>
      <w:ind w:left="400" w:hanging="400"/>
    </w:pPr>
  </w:style>
  <w:style w:type="paragraph" w:styleId="Header">
    <w:name w:val="header"/>
    <w:basedOn w:val="Normal"/>
    <w:link w:val="HeaderChar"/>
    <w:uiPriority w:val="99"/>
    <w:rsid w:val="002227FF"/>
    <w:pPr>
      <w:tabs>
        <w:tab w:val="center" w:pos="4320"/>
        <w:tab w:val="right" w:pos="8640"/>
      </w:tabs>
    </w:pPr>
  </w:style>
  <w:style w:type="character" w:customStyle="1" w:styleId="HeaderChar">
    <w:name w:val="Header Char"/>
    <w:basedOn w:val="DefaultParagraphFont"/>
    <w:link w:val="Header"/>
    <w:uiPriority w:val="99"/>
    <w:semiHidden/>
    <w:locked/>
    <w:rsid w:val="006066F6"/>
    <w:rPr>
      <w:rFonts w:cs="Times New Roman"/>
      <w:sz w:val="20"/>
      <w:szCs w:val="20"/>
    </w:rPr>
  </w:style>
  <w:style w:type="paragraph" w:styleId="Footer">
    <w:name w:val="footer"/>
    <w:basedOn w:val="Normal"/>
    <w:link w:val="FooterChar"/>
    <w:uiPriority w:val="99"/>
    <w:rsid w:val="002227FF"/>
    <w:pPr>
      <w:tabs>
        <w:tab w:val="center" w:pos="4320"/>
        <w:tab w:val="right" w:pos="8640"/>
      </w:tabs>
    </w:pPr>
  </w:style>
  <w:style w:type="character" w:customStyle="1" w:styleId="FooterChar">
    <w:name w:val="Footer Char"/>
    <w:basedOn w:val="DefaultParagraphFont"/>
    <w:link w:val="Footer"/>
    <w:uiPriority w:val="99"/>
    <w:semiHidden/>
    <w:locked/>
    <w:rsid w:val="006066F6"/>
    <w:rPr>
      <w:rFonts w:cs="Times New Roman"/>
      <w:sz w:val="20"/>
      <w:szCs w:val="20"/>
    </w:rPr>
  </w:style>
  <w:style w:type="paragraph" w:styleId="BodyText2">
    <w:name w:val="Body Text 2"/>
    <w:basedOn w:val="Normal"/>
    <w:link w:val="BodyText2Char"/>
    <w:uiPriority w:val="99"/>
    <w:rsid w:val="002227FF"/>
    <w:pPr>
      <w:jc w:val="center"/>
    </w:pPr>
  </w:style>
  <w:style w:type="character" w:customStyle="1" w:styleId="BodyText2Char">
    <w:name w:val="Body Text 2 Char"/>
    <w:basedOn w:val="DefaultParagraphFont"/>
    <w:link w:val="BodyText2"/>
    <w:uiPriority w:val="99"/>
    <w:semiHidden/>
    <w:locked/>
    <w:rsid w:val="006066F6"/>
    <w:rPr>
      <w:rFonts w:cs="Times New Roman"/>
      <w:sz w:val="20"/>
      <w:szCs w:val="20"/>
    </w:rPr>
  </w:style>
  <w:style w:type="paragraph" w:styleId="FootnoteText">
    <w:name w:val="footnote text"/>
    <w:basedOn w:val="Normal"/>
    <w:link w:val="FootnoteTextChar"/>
    <w:uiPriority w:val="99"/>
    <w:semiHidden/>
    <w:rsid w:val="002227FF"/>
  </w:style>
  <w:style w:type="character" w:customStyle="1" w:styleId="FootnoteTextChar">
    <w:name w:val="Footnote Text Char"/>
    <w:basedOn w:val="DefaultParagraphFont"/>
    <w:link w:val="FootnoteText"/>
    <w:uiPriority w:val="99"/>
    <w:semiHidden/>
    <w:locked/>
    <w:rsid w:val="006066F6"/>
    <w:rPr>
      <w:rFonts w:cs="Times New Roman"/>
      <w:sz w:val="20"/>
      <w:szCs w:val="20"/>
    </w:rPr>
  </w:style>
  <w:style w:type="character" w:styleId="FootnoteReference">
    <w:name w:val="footnote reference"/>
    <w:basedOn w:val="DefaultParagraphFont"/>
    <w:uiPriority w:val="99"/>
    <w:semiHidden/>
    <w:rsid w:val="002227FF"/>
    <w:rPr>
      <w:rFonts w:cs="Times New Roman"/>
      <w:vertAlign w:val="superscript"/>
    </w:rPr>
  </w:style>
  <w:style w:type="character" w:styleId="PageNumber">
    <w:name w:val="page number"/>
    <w:basedOn w:val="DefaultParagraphFont"/>
    <w:uiPriority w:val="99"/>
    <w:rsid w:val="002227FF"/>
    <w:rPr>
      <w:rFonts w:cs="Times New Roman"/>
    </w:rPr>
  </w:style>
  <w:style w:type="paragraph" w:styleId="BodyTextIndent">
    <w:name w:val="Body Text Indent"/>
    <w:basedOn w:val="Normal"/>
    <w:link w:val="BodyTextIndentChar"/>
    <w:uiPriority w:val="99"/>
    <w:rsid w:val="002227FF"/>
    <w:pPr>
      <w:spacing w:before="240"/>
      <w:ind w:left="720" w:hanging="720"/>
    </w:pPr>
    <w:rPr>
      <w:sz w:val="22"/>
    </w:rPr>
  </w:style>
  <w:style w:type="character" w:customStyle="1" w:styleId="BodyTextIndentChar">
    <w:name w:val="Body Text Indent Char"/>
    <w:basedOn w:val="DefaultParagraphFont"/>
    <w:link w:val="BodyTextIndent"/>
    <w:uiPriority w:val="99"/>
    <w:semiHidden/>
    <w:locked/>
    <w:rsid w:val="006066F6"/>
    <w:rPr>
      <w:rFonts w:cs="Times New Roman"/>
      <w:sz w:val="20"/>
      <w:szCs w:val="20"/>
    </w:rPr>
  </w:style>
  <w:style w:type="paragraph" w:styleId="BalloonText">
    <w:name w:val="Balloon Text"/>
    <w:basedOn w:val="Normal"/>
    <w:link w:val="BalloonTextChar"/>
    <w:uiPriority w:val="99"/>
    <w:semiHidden/>
    <w:rsid w:val="005358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6F6"/>
    <w:rPr>
      <w:rFonts w:cs="Times New Roman"/>
      <w:sz w:val="2"/>
    </w:rPr>
  </w:style>
  <w:style w:type="character" w:styleId="CommentReference">
    <w:name w:val="annotation reference"/>
    <w:basedOn w:val="DefaultParagraphFont"/>
    <w:uiPriority w:val="99"/>
    <w:semiHidden/>
    <w:rsid w:val="00CC5D1E"/>
    <w:rPr>
      <w:rFonts w:cs="Times New Roman"/>
      <w:sz w:val="16"/>
      <w:szCs w:val="16"/>
    </w:rPr>
  </w:style>
  <w:style w:type="paragraph" w:styleId="CommentText">
    <w:name w:val="annotation text"/>
    <w:basedOn w:val="Normal"/>
    <w:link w:val="CommentTextChar"/>
    <w:uiPriority w:val="99"/>
    <w:semiHidden/>
    <w:rsid w:val="00CC5D1E"/>
  </w:style>
  <w:style w:type="character" w:customStyle="1" w:styleId="CommentTextChar">
    <w:name w:val="Comment Text Char"/>
    <w:basedOn w:val="DefaultParagraphFont"/>
    <w:link w:val="CommentText"/>
    <w:uiPriority w:val="99"/>
    <w:semiHidden/>
    <w:locked/>
    <w:rsid w:val="006066F6"/>
    <w:rPr>
      <w:rFonts w:cs="Times New Roman"/>
      <w:sz w:val="20"/>
      <w:szCs w:val="20"/>
    </w:rPr>
  </w:style>
  <w:style w:type="paragraph" w:styleId="CommentSubject">
    <w:name w:val="annotation subject"/>
    <w:basedOn w:val="CommentText"/>
    <w:next w:val="CommentText"/>
    <w:link w:val="CommentSubjectChar"/>
    <w:uiPriority w:val="99"/>
    <w:semiHidden/>
    <w:rsid w:val="00CC5D1E"/>
    <w:rPr>
      <w:b/>
      <w:bCs/>
    </w:rPr>
  </w:style>
  <w:style w:type="character" w:customStyle="1" w:styleId="CommentSubjectChar">
    <w:name w:val="Comment Subject Char"/>
    <w:basedOn w:val="CommentTextChar"/>
    <w:link w:val="CommentSubject"/>
    <w:uiPriority w:val="99"/>
    <w:semiHidden/>
    <w:locked/>
    <w:rsid w:val="006066F6"/>
    <w:rPr>
      <w:rFonts w:cs="Times New Roman"/>
      <w:b/>
      <w:bCs/>
      <w:sz w:val="20"/>
      <w:szCs w:val="20"/>
    </w:rPr>
  </w:style>
  <w:style w:type="paragraph" w:styleId="Caption">
    <w:name w:val="caption"/>
    <w:basedOn w:val="Normal"/>
    <w:next w:val="Normal"/>
    <w:uiPriority w:val="99"/>
    <w:qFormat/>
    <w:rsid w:val="00464E0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overflowPunct w:val="0"/>
      <w:autoSpaceDE w:val="0"/>
      <w:autoSpaceDN w:val="0"/>
      <w:adjustRightInd w:val="0"/>
      <w:jc w:val="center"/>
      <w:textAlignment w:val="baseline"/>
    </w:pPr>
    <w:rPr>
      <w:rFonts w:ascii="CG Times (WN)" w:hAnsi="CG Times (WN)"/>
      <w:b/>
      <w:smallCaps/>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549618">
      <w:bodyDiv w:val="1"/>
      <w:marLeft w:val="0"/>
      <w:marRight w:val="0"/>
      <w:marTop w:val="0"/>
      <w:marBottom w:val="0"/>
      <w:divBdr>
        <w:top w:val="none" w:sz="0" w:space="0" w:color="auto"/>
        <w:left w:val="none" w:sz="0" w:space="0" w:color="auto"/>
        <w:bottom w:val="none" w:sz="0" w:space="0" w:color="auto"/>
        <w:right w:val="none" w:sz="0" w:space="0" w:color="auto"/>
      </w:divBdr>
    </w:div>
    <w:div w:id="1792939666">
      <w:marLeft w:val="0"/>
      <w:marRight w:val="0"/>
      <w:marTop w:val="0"/>
      <w:marBottom w:val="0"/>
      <w:divBdr>
        <w:top w:val="none" w:sz="0" w:space="0" w:color="auto"/>
        <w:left w:val="none" w:sz="0" w:space="0" w:color="auto"/>
        <w:bottom w:val="none" w:sz="0" w:space="0" w:color="auto"/>
        <w:right w:val="none" w:sz="0" w:space="0" w:color="auto"/>
      </w:divBdr>
    </w:div>
    <w:div w:id="1792939667">
      <w:marLeft w:val="0"/>
      <w:marRight w:val="0"/>
      <w:marTop w:val="0"/>
      <w:marBottom w:val="0"/>
      <w:divBdr>
        <w:top w:val="none" w:sz="0" w:space="0" w:color="auto"/>
        <w:left w:val="none" w:sz="0" w:space="0" w:color="auto"/>
        <w:bottom w:val="none" w:sz="0" w:space="0" w:color="auto"/>
        <w:right w:val="none" w:sz="0" w:space="0" w:color="auto"/>
      </w:divBdr>
    </w:div>
    <w:div w:id="1792939668">
      <w:marLeft w:val="0"/>
      <w:marRight w:val="0"/>
      <w:marTop w:val="0"/>
      <w:marBottom w:val="0"/>
      <w:divBdr>
        <w:top w:val="none" w:sz="0" w:space="0" w:color="auto"/>
        <w:left w:val="none" w:sz="0" w:space="0" w:color="auto"/>
        <w:bottom w:val="none" w:sz="0" w:space="0" w:color="auto"/>
        <w:right w:val="none" w:sz="0" w:space="0" w:color="auto"/>
      </w:divBdr>
    </w:div>
    <w:div w:id="1792939669">
      <w:marLeft w:val="0"/>
      <w:marRight w:val="0"/>
      <w:marTop w:val="0"/>
      <w:marBottom w:val="0"/>
      <w:divBdr>
        <w:top w:val="none" w:sz="0" w:space="0" w:color="auto"/>
        <w:left w:val="none" w:sz="0" w:space="0" w:color="auto"/>
        <w:bottom w:val="none" w:sz="0" w:space="0" w:color="auto"/>
        <w:right w:val="none" w:sz="0" w:space="0" w:color="auto"/>
      </w:divBdr>
    </w:div>
    <w:div w:id="1792939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7154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2015-05-29T15:12:00Z</dcterms:created>
  <dcterms:modified xsi:type="dcterms:W3CDTF">2015-05-29T15:12:00Z</dcterms:modified>
</cp:coreProperties>
</file>